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7CDD1" w14:textId="212ADEED" w:rsidR="00671A7B" w:rsidRPr="000B4E0F" w:rsidRDefault="00671A7B" w:rsidP="00671A7B">
      <w:pPr>
        <w:jc w:val="center"/>
        <w:rPr>
          <w:b/>
          <w:bCs/>
          <w:sz w:val="28"/>
          <w:szCs w:val="28"/>
          <w:u w:val="single"/>
        </w:rPr>
      </w:pPr>
      <w:r w:rsidRPr="000B4E0F">
        <w:rPr>
          <w:b/>
          <w:bCs/>
          <w:sz w:val="28"/>
          <w:szCs w:val="28"/>
          <w:u w:val="single"/>
        </w:rPr>
        <w:t>Crime and Policing Act 2026</w:t>
      </w:r>
    </w:p>
    <w:p w14:paraId="0F51B2A1" w14:textId="45260282" w:rsidR="00671A7B" w:rsidRPr="000B4E0F" w:rsidRDefault="002F6CA2" w:rsidP="00671A7B">
      <w:pPr>
        <w:jc w:val="center"/>
        <w:rPr>
          <w:b/>
          <w:bCs/>
          <w:sz w:val="28"/>
          <w:szCs w:val="28"/>
          <w:u w:val="single"/>
        </w:rPr>
      </w:pPr>
      <w:r w:rsidRPr="000B4E0F">
        <w:rPr>
          <w:b/>
          <w:bCs/>
          <w:sz w:val="28"/>
          <w:szCs w:val="28"/>
          <w:u w:val="single"/>
        </w:rPr>
        <w:t>Overview</w:t>
      </w:r>
    </w:p>
    <w:p w14:paraId="4DCCF3D9" w14:textId="02E4E6CB" w:rsidR="00A06B91" w:rsidRPr="000B4E0F" w:rsidRDefault="00A06B91" w:rsidP="00A06B91">
      <w:pPr>
        <w:spacing w:after="0"/>
        <w:rPr>
          <w:rFonts w:ascii="Arial" w:hAnsi="Arial" w:cs="Arial"/>
          <w:sz w:val="22"/>
          <w:szCs w:val="22"/>
        </w:rPr>
      </w:pPr>
      <w:r w:rsidRPr="000B4E0F">
        <w:rPr>
          <w:rFonts w:ascii="Arial" w:hAnsi="Arial" w:cs="Arial"/>
          <w:sz w:val="22"/>
          <w:szCs w:val="22"/>
        </w:rPr>
        <w:t xml:space="preserve">Written by Kate Toutountzi </w:t>
      </w:r>
    </w:p>
    <w:p w14:paraId="3DBAD710" w14:textId="78618111" w:rsidR="00A06B91" w:rsidRPr="000B4E0F" w:rsidRDefault="00A06B91" w:rsidP="00A06B91">
      <w:pPr>
        <w:spacing w:after="0"/>
        <w:rPr>
          <w:rFonts w:ascii="Arial" w:hAnsi="Arial" w:cs="Arial"/>
          <w:sz w:val="22"/>
          <w:szCs w:val="22"/>
        </w:rPr>
      </w:pPr>
      <w:r w:rsidRPr="000B4E0F">
        <w:rPr>
          <w:rFonts w:ascii="Arial" w:hAnsi="Arial" w:cs="Arial"/>
          <w:sz w:val="22"/>
          <w:szCs w:val="22"/>
        </w:rPr>
        <w:t xml:space="preserve">May 2026 </w:t>
      </w:r>
    </w:p>
    <w:p w14:paraId="3C30700F" w14:textId="77777777" w:rsidR="00A06B91" w:rsidRPr="00A06B91" w:rsidRDefault="00A06B91" w:rsidP="00A06B91">
      <w:pPr>
        <w:spacing w:after="0"/>
        <w:rPr>
          <w:sz w:val="22"/>
          <w:szCs w:val="22"/>
        </w:rPr>
      </w:pPr>
    </w:p>
    <w:p w14:paraId="0C9D8D58" w14:textId="2F1412F3" w:rsidR="006D5789" w:rsidRPr="006D5789" w:rsidRDefault="006D5789" w:rsidP="006D5789">
      <w:r w:rsidRPr="00671A7B">
        <w:rPr>
          <w:b/>
          <w:bCs/>
        </w:rPr>
        <w:t>The Crime and Policing Act 2026</w:t>
      </w:r>
      <w:r w:rsidRPr="006D5789">
        <w:t xml:space="preserve"> became law on 29 April 2026. Its provisions will come into force in stages, with an initial phase expected from 29 June 2026, and it updates existing anti</w:t>
      </w:r>
      <w:r w:rsidRPr="006D5789">
        <w:noBreakHyphen/>
        <w:t xml:space="preserve">social </w:t>
      </w:r>
      <w:proofErr w:type="spellStart"/>
      <w:r w:rsidRPr="006D5789">
        <w:t>behaviour</w:t>
      </w:r>
      <w:proofErr w:type="spellEnd"/>
      <w:r w:rsidRPr="006D5789">
        <w:t xml:space="preserve"> legislation rather than replacing it entirely.”</w:t>
      </w:r>
    </w:p>
    <w:p w14:paraId="48542CBC" w14:textId="3C5E52E8" w:rsidR="00D840CC" w:rsidRDefault="00D840CC" w:rsidP="00D840CC">
      <w:r>
        <w:t xml:space="preserve">The changes will enhance how Cobalt delivers a more effective anti-social </w:t>
      </w:r>
      <w:proofErr w:type="spellStart"/>
      <w:r>
        <w:t>behaviour</w:t>
      </w:r>
      <w:proofErr w:type="spellEnd"/>
      <w:r>
        <w:t xml:space="preserve"> service by providing additional tools and powers and strengthening existing ones </w:t>
      </w:r>
      <w:r w:rsidR="000B4E0F">
        <w:t>that support</w:t>
      </w:r>
      <w:r>
        <w:t xml:space="preserve"> customers who have been affected by:</w:t>
      </w:r>
    </w:p>
    <w:p w14:paraId="6044F7DE" w14:textId="77777777" w:rsidR="00D840CC" w:rsidRDefault="00D840CC" w:rsidP="00D840CC">
      <w:pPr>
        <w:pStyle w:val="ListParagraph"/>
        <w:numPr>
          <w:ilvl w:val="0"/>
          <w:numId w:val="2"/>
        </w:numPr>
      </w:pPr>
      <w:r>
        <w:t xml:space="preserve">Anti-social </w:t>
      </w:r>
      <w:proofErr w:type="spellStart"/>
      <w:r>
        <w:t>behaviour</w:t>
      </w:r>
      <w:proofErr w:type="spellEnd"/>
      <w:r>
        <w:t xml:space="preserve"> </w:t>
      </w:r>
    </w:p>
    <w:p w14:paraId="50E5FC1B" w14:textId="48181FED" w:rsidR="00D840CC" w:rsidRDefault="00D840CC" w:rsidP="00D840CC">
      <w:pPr>
        <w:pStyle w:val="ListParagraph"/>
        <w:numPr>
          <w:ilvl w:val="0"/>
          <w:numId w:val="2"/>
        </w:numPr>
      </w:pPr>
      <w:r>
        <w:t xml:space="preserve">Violence against Women and Girls </w:t>
      </w:r>
    </w:p>
    <w:p w14:paraId="22056656" w14:textId="77777777" w:rsidR="00D840CC" w:rsidRDefault="00D840CC" w:rsidP="00D840CC">
      <w:pPr>
        <w:pStyle w:val="ListParagraph"/>
        <w:numPr>
          <w:ilvl w:val="0"/>
          <w:numId w:val="2"/>
        </w:numPr>
      </w:pPr>
      <w:r>
        <w:t>Hate Crime</w:t>
      </w:r>
    </w:p>
    <w:p w14:paraId="178FA290" w14:textId="6C342ED7" w:rsidR="00D840CC" w:rsidRDefault="00D840CC" w:rsidP="00A731A3">
      <w:pPr>
        <w:pStyle w:val="ListParagraph"/>
        <w:numPr>
          <w:ilvl w:val="0"/>
          <w:numId w:val="2"/>
        </w:numPr>
      </w:pPr>
      <w:r>
        <w:t xml:space="preserve">Knife Crime </w:t>
      </w:r>
    </w:p>
    <w:p w14:paraId="15DD2DE3" w14:textId="2AC78D00" w:rsidR="00CE024A" w:rsidRPr="00D840CC" w:rsidRDefault="00D840CC">
      <w:pPr>
        <w:rPr>
          <w:b/>
          <w:bCs/>
        </w:rPr>
      </w:pPr>
      <w:r w:rsidRPr="00D840CC">
        <w:rPr>
          <w:b/>
          <w:bCs/>
        </w:rPr>
        <w:t>What are the changes</w:t>
      </w:r>
      <w:r>
        <w:rPr>
          <w:b/>
          <w:bCs/>
        </w:rPr>
        <w:t>?</w:t>
      </w:r>
    </w:p>
    <w:p w14:paraId="0A6481D8" w14:textId="24CA7EBD" w:rsidR="00D840CC" w:rsidRDefault="00D840CC">
      <w:r w:rsidRPr="00671A7B">
        <w:rPr>
          <w:b/>
          <w:bCs/>
        </w:rPr>
        <w:t>Respect Orders</w:t>
      </w:r>
      <w:r w:rsidR="00696132">
        <w:rPr>
          <w:b/>
          <w:bCs/>
        </w:rPr>
        <w:t xml:space="preserve"> and Youth Injunctions</w:t>
      </w:r>
      <w:r>
        <w:t xml:space="preserve"> will replace the existing A</w:t>
      </w:r>
      <w:r w:rsidR="00311874">
        <w:t xml:space="preserve">nti-Social </w:t>
      </w:r>
      <w:proofErr w:type="spellStart"/>
      <w:r w:rsidR="00311874">
        <w:t>Behaviour</w:t>
      </w:r>
      <w:proofErr w:type="spellEnd"/>
      <w:r w:rsidR="00311874">
        <w:t xml:space="preserve"> </w:t>
      </w:r>
      <w:r w:rsidR="000B4E0F">
        <w:t>Injunctions (</w:t>
      </w:r>
      <w:r>
        <w:t xml:space="preserve">ASBI) under the Anti-Social </w:t>
      </w:r>
      <w:proofErr w:type="spellStart"/>
      <w:r>
        <w:t>Behaviour</w:t>
      </w:r>
      <w:proofErr w:type="spellEnd"/>
      <w:r>
        <w:t xml:space="preserve">, Crime and Policing Act 2014. </w:t>
      </w:r>
    </w:p>
    <w:p w14:paraId="7E3FC3A1" w14:textId="4C7ABB77" w:rsidR="00897C05" w:rsidRDefault="00897C05" w:rsidP="00897C05">
      <w:r w:rsidRPr="00897C05">
        <w:t xml:space="preserve">Although the legislation takes effect on 29 June 2026, Respect Orders will not be introduced nationwide until the pilot phase is complete. The government will confirm when the pilots </w:t>
      </w:r>
      <w:r w:rsidR="00F932E5" w:rsidRPr="00897C05">
        <w:t>begin</w:t>
      </w:r>
      <w:r w:rsidRPr="00897C05">
        <w:t xml:space="preserve"> and which </w:t>
      </w:r>
      <w:r w:rsidR="00742549">
        <w:t>regions</w:t>
      </w:r>
      <w:r w:rsidRPr="00897C05">
        <w:t xml:space="preserve"> will take part.</w:t>
      </w:r>
    </w:p>
    <w:p w14:paraId="467CE64C" w14:textId="77777777" w:rsidR="00812BBA" w:rsidRDefault="00812BBA" w:rsidP="00897C05"/>
    <w:p w14:paraId="542362D5" w14:textId="0CD4458D" w:rsidR="00D510E1" w:rsidRPr="00897C05" w:rsidRDefault="00D510E1" w:rsidP="00897C05">
      <w:r>
        <w:t>Comparison table of past, present and future</w:t>
      </w:r>
      <w:r w:rsidR="00812BBA">
        <w:t xml:space="preserve"> ASB powers.</w:t>
      </w:r>
    </w:p>
    <w:tbl>
      <w:tblPr>
        <w:tblStyle w:val="TableGrid"/>
        <w:tblW w:w="0" w:type="auto"/>
        <w:tblLayout w:type="fixed"/>
        <w:tblLook w:val="04A0" w:firstRow="1" w:lastRow="0" w:firstColumn="1" w:lastColumn="0" w:noHBand="0" w:noVBand="1"/>
      </w:tblPr>
      <w:tblGrid>
        <w:gridCol w:w="1558"/>
        <w:gridCol w:w="1558"/>
        <w:gridCol w:w="1559"/>
        <w:gridCol w:w="1558"/>
        <w:gridCol w:w="1558"/>
        <w:gridCol w:w="1559"/>
      </w:tblGrid>
      <w:tr w:rsidR="008660F6" w14:paraId="7C8411B0" w14:textId="77777777" w:rsidTr="00824292">
        <w:tc>
          <w:tcPr>
            <w:tcW w:w="1558" w:type="dxa"/>
          </w:tcPr>
          <w:p w14:paraId="7738FB9D" w14:textId="63423AA4" w:rsidR="008660F6" w:rsidRDefault="008660F6">
            <w:r>
              <w:t>Name of Order</w:t>
            </w:r>
          </w:p>
        </w:tc>
        <w:tc>
          <w:tcPr>
            <w:tcW w:w="1558" w:type="dxa"/>
          </w:tcPr>
          <w:p w14:paraId="28343ABC" w14:textId="3462921C" w:rsidR="008660F6" w:rsidRPr="002C2542" w:rsidRDefault="008660F6">
            <w:pPr>
              <w:rPr>
                <w:b/>
                <w:bCs/>
              </w:rPr>
            </w:pPr>
            <w:r w:rsidRPr="002C2542">
              <w:rPr>
                <w:b/>
                <w:bCs/>
              </w:rPr>
              <w:t xml:space="preserve">Respect Order </w:t>
            </w:r>
          </w:p>
        </w:tc>
        <w:tc>
          <w:tcPr>
            <w:tcW w:w="1559" w:type="dxa"/>
          </w:tcPr>
          <w:p w14:paraId="41159990" w14:textId="0FDF4D9C" w:rsidR="008660F6" w:rsidRPr="002C2542" w:rsidRDefault="008660F6">
            <w:pPr>
              <w:rPr>
                <w:b/>
                <w:bCs/>
              </w:rPr>
            </w:pPr>
            <w:r>
              <w:rPr>
                <w:b/>
                <w:bCs/>
              </w:rPr>
              <w:t xml:space="preserve">Housing </w:t>
            </w:r>
            <w:r w:rsidR="00824292">
              <w:rPr>
                <w:b/>
                <w:bCs/>
              </w:rPr>
              <w:t>Injunction</w:t>
            </w:r>
            <w:r>
              <w:rPr>
                <w:b/>
                <w:bCs/>
              </w:rPr>
              <w:t xml:space="preserve"> </w:t>
            </w:r>
          </w:p>
        </w:tc>
        <w:tc>
          <w:tcPr>
            <w:tcW w:w="1558" w:type="dxa"/>
          </w:tcPr>
          <w:p w14:paraId="5B49097E" w14:textId="3401B8A6" w:rsidR="008660F6" w:rsidRPr="002C2542" w:rsidRDefault="008660F6">
            <w:pPr>
              <w:rPr>
                <w:b/>
                <w:bCs/>
              </w:rPr>
            </w:pPr>
            <w:r w:rsidRPr="002C2542">
              <w:rPr>
                <w:b/>
                <w:bCs/>
              </w:rPr>
              <w:t>Youth Injunction</w:t>
            </w:r>
          </w:p>
        </w:tc>
        <w:tc>
          <w:tcPr>
            <w:tcW w:w="1558" w:type="dxa"/>
          </w:tcPr>
          <w:p w14:paraId="76BE16A2" w14:textId="3044D26A" w:rsidR="008660F6" w:rsidRPr="002C2542" w:rsidRDefault="008660F6">
            <w:pPr>
              <w:rPr>
                <w:b/>
                <w:bCs/>
              </w:rPr>
            </w:pPr>
            <w:r w:rsidRPr="002C2542">
              <w:rPr>
                <w:b/>
                <w:bCs/>
              </w:rPr>
              <w:t xml:space="preserve">Anti-Social </w:t>
            </w:r>
            <w:proofErr w:type="spellStart"/>
            <w:r w:rsidRPr="002C2542">
              <w:rPr>
                <w:b/>
                <w:bCs/>
              </w:rPr>
              <w:t>Behaviour</w:t>
            </w:r>
            <w:proofErr w:type="spellEnd"/>
            <w:r w:rsidRPr="002C2542">
              <w:rPr>
                <w:b/>
                <w:bCs/>
              </w:rPr>
              <w:t xml:space="preserve"> Injunction (ASBI)</w:t>
            </w:r>
          </w:p>
        </w:tc>
        <w:tc>
          <w:tcPr>
            <w:tcW w:w="1559" w:type="dxa"/>
          </w:tcPr>
          <w:p w14:paraId="75774AF8" w14:textId="54338C72" w:rsidR="008660F6" w:rsidRPr="002C2542" w:rsidRDefault="008660F6">
            <w:pPr>
              <w:rPr>
                <w:b/>
                <w:bCs/>
              </w:rPr>
            </w:pPr>
            <w:r w:rsidRPr="002C2542">
              <w:rPr>
                <w:b/>
                <w:bCs/>
              </w:rPr>
              <w:t xml:space="preserve">Anti-Social </w:t>
            </w:r>
            <w:proofErr w:type="spellStart"/>
            <w:r w:rsidRPr="002C2542">
              <w:rPr>
                <w:b/>
                <w:bCs/>
              </w:rPr>
              <w:t>Behaviour</w:t>
            </w:r>
            <w:proofErr w:type="spellEnd"/>
            <w:r w:rsidRPr="002C2542">
              <w:rPr>
                <w:b/>
                <w:bCs/>
              </w:rPr>
              <w:t xml:space="preserve"> Order (ASBO)</w:t>
            </w:r>
          </w:p>
        </w:tc>
      </w:tr>
      <w:tr w:rsidR="00EC184D" w14:paraId="53AC024D" w14:textId="77777777" w:rsidTr="00824292">
        <w:tc>
          <w:tcPr>
            <w:tcW w:w="1558" w:type="dxa"/>
          </w:tcPr>
          <w:p w14:paraId="496CF4D7" w14:textId="5E01904A" w:rsidR="00EC184D" w:rsidRDefault="00052E3D">
            <w:r>
              <w:t>Date</w:t>
            </w:r>
          </w:p>
        </w:tc>
        <w:tc>
          <w:tcPr>
            <w:tcW w:w="1558" w:type="dxa"/>
          </w:tcPr>
          <w:p w14:paraId="73F9BEB5" w14:textId="4E89BCC2" w:rsidR="00EC184D" w:rsidRPr="002C2542" w:rsidRDefault="00052E3D">
            <w:pPr>
              <w:rPr>
                <w:b/>
                <w:bCs/>
              </w:rPr>
            </w:pPr>
            <w:r>
              <w:rPr>
                <w:b/>
                <w:bCs/>
              </w:rPr>
              <w:t>2026 tbc</w:t>
            </w:r>
          </w:p>
        </w:tc>
        <w:tc>
          <w:tcPr>
            <w:tcW w:w="1559" w:type="dxa"/>
          </w:tcPr>
          <w:p w14:paraId="4F162774" w14:textId="4FAD26E1" w:rsidR="00EC184D" w:rsidRDefault="00052E3D">
            <w:pPr>
              <w:rPr>
                <w:b/>
                <w:bCs/>
              </w:rPr>
            </w:pPr>
            <w:r>
              <w:rPr>
                <w:b/>
                <w:bCs/>
              </w:rPr>
              <w:t>2026 tbc</w:t>
            </w:r>
          </w:p>
        </w:tc>
        <w:tc>
          <w:tcPr>
            <w:tcW w:w="1558" w:type="dxa"/>
          </w:tcPr>
          <w:p w14:paraId="1FF4772B" w14:textId="5C507D82" w:rsidR="00EC184D" w:rsidRPr="002C2542" w:rsidRDefault="00052E3D">
            <w:pPr>
              <w:rPr>
                <w:b/>
                <w:bCs/>
              </w:rPr>
            </w:pPr>
            <w:r>
              <w:rPr>
                <w:b/>
                <w:bCs/>
              </w:rPr>
              <w:t>2026 tbc</w:t>
            </w:r>
          </w:p>
        </w:tc>
        <w:tc>
          <w:tcPr>
            <w:tcW w:w="1558" w:type="dxa"/>
          </w:tcPr>
          <w:p w14:paraId="008C60ED" w14:textId="516A546B" w:rsidR="00EC184D" w:rsidRPr="002C2542" w:rsidRDefault="00052E3D">
            <w:pPr>
              <w:rPr>
                <w:b/>
                <w:bCs/>
              </w:rPr>
            </w:pPr>
            <w:r>
              <w:rPr>
                <w:b/>
                <w:bCs/>
              </w:rPr>
              <w:t>2014 – 2026</w:t>
            </w:r>
          </w:p>
        </w:tc>
        <w:tc>
          <w:tcPr>
            <w:tcW w:w="1559" w:type="dxa"/>
          </w:tcPr>
          <w:p w14:paraId="246F0F55" w14:textId="4FA32895" w:rsidR="00EC184D" w:rsidRPr="002C2542" w:rsidRDefault="004315EC">
            <w:pPr>
              <w:rPr>
                <w:b/>
                <w:bCs/>
              </w:rPr>
            </w:pPr>
            <w:r>
              <w:rPr>
                <w:b/>
                <w:bCs/>
              </w:rPr>
              <w:t>1998 - 2014</w:t>
            </w:r>
          </w:p>
        </w:tc>
      </w:tr>
      <w:tr w:rsidR="008660F6" w14:paraId="07671948" w14:textId="77777777" w:rsidTr="00824292">
        <w:tc>
          <w:tcPr>
            <w:tcW w:w="1558" w:type="dxa"/>
          </w:tcPr>
          <w:p w14:paraId="54B63C63" w14:textId="62B9FE64" w:rsidR="008660F6" w:rsidRPr="007D01AB" w:rsidRDefault="008660F6">
            <w:pPr>
              <w:rPr>
                <w:sz w:val="22"/>
                <w:szCs w:val="22"/>
              </w:rPr>
            </w:pPr>
            <w:r w:rsidRPr="007D01AB">
              <w:rPr>
                <w:sz w:val="22"/>
                <w:szCs w:val="22"/>
              </w:rPr>
              <w:t>Legislation</w:t>
            </w:r>
          </w:p>
        </w:tc>
        <w:tc>
          <w:tcPr>
            <w:tcW w:w="1558" w:type="dxa"/>
          </w:tcPr>
          <w:p w14:paraId="71A7880B" w14:textId="34355CD6" w:rsidR="008660F6" w:rsidRPr="007D01AB" w:rsidRDefault="008660F6">
            <w:pPr>
              <w:rPr>
                <w:sz w:val="22"/>
                <w:szCs w:val="22"/>
              </w:rPr>
            </w:pPr>
            <w:r w:rsidRPr="007D01AB">
              <w:rPr>
                <w:sz w:val="22"/>
                <w:szCs w:val="22"/>
              </w:rPr>
              <w:t>Crime and Policing Act 2026</w:t>
            </w:r>
          </w:p>
        </w:tc>
        <w:tc>
          <w:tcPr>
            <w:tcW w:w="1559" w:type="dxa"/>
          </w:tcPr>
          <w:p w14:paraId="5010CB6F" w14:textId="1849715B" w:rsidR="008660F6" w:rsidRPr="007D01AB" w:rsidRDefault="00824292">
            <w:pPr>
              <w:rPr>
                <w:sz w:val="22"/>
                <w:szCs w:val="22"/>
              </w:rPr>
            </w:pPr>
            <w:r w:rsidRPr="007D01AB">
              <w:rPr>
                <w:sz w:val="22"/>
                <w:szCs w:val="22"/>
              </w:rPr>
              <w:t>Crime and Policing Act 2026</w:t>
            </w:r>
          </w:p>
        </w:tc>
        <w:tc>
          <w:tcPr>
            <w:tcW w:w="1558" w:type="dxa"/>
          </w:tcPr>
          <w:p w14:paraId="46C4A6C2" w14:textId="6CC80265" w:rsidR="008660F6" w:rsidRPr="007D01AB" w:rsidRDefault="008660F6">
            <w:pPr>
              <w:rPr>
                <w:sz w:val="22"/>
                <w:szCs w:val="22"/>
              </w:rPr>
            </w:pPr>
            <w:r w:rsidRPr="007D01AB">
              <w:rPr>
                <w:sz w:val="22"/>
                <w:szCs w:val="22"/>
              </w:rPr>
              <w:t xml:space="preserve">Crime and Policing Act 2026 (as amended under sec 1 of Anti-Social </w:t>
            </w:r>
            <w:proofErr w:type="spellStart"/>
            <w:r w:rsidRPr="007D01AB">
              <w:rPr>
                <w:sz w:val="22"/>
                <w:szCs w:val="22"/>
              </w:rPr>
              <w:t>Behaviour</w:t>
            </w:r>
            <w:proofErr w:type="spellEnd"/>
            <w:r w:rsidRPr="007D01AB">
              <w:rPr>
                <w:sz w:val="22"/>
                <w:szCs w:val="22"/>
              </w:rPr>
              <w:t xml:space="preserve">, </w:t>
            </w:r>
            <w:r w:rsidRPr="007D01AB">
              <w:rPr>
                <w:sz w:val="22"/>
                <w:szCs w:val="22"/>
              </w:rPr>
              <w:lastRenderedPageBreak/>
              <w:t>Crime and Policing Act 2024)</w:t>
            </w:r>
          </w:p>
        </w:tc>
        <w:tc>
          <w:tcPr>
            <w:tcW w:w="1558" w:type="dxa"/>
          </w:tcPr>
          <w:p w14:paraId="431AF89F" w14:textId="63C79712" w:rsidR="008660F6" w:rsidRPr="007D01AB" w:rsidRDefault="008660F6">
            <w:pPr>
              <w:rPr>
                <w:sz w:val="22"/>
                <w:szCs w:val="22"/>
              </w:rPr>
            </w:pPr>
            <w:r w:rsidRPr="007D01AB">
              <w:rPr>
                <w:sz w:val="22"/>
                <w:szCs w:val="22"/>
              </w:rPr>
              <w:lastRenderedPageBreak/>
              <w:t xml:space="preserve">Anti-Social </w:t>
            </w:r>
            <w:proofErr w:type="spellStart"/>
            <w:r w:rsidRPr="007D01AB">
              <w:rPr>
                <w:sz w:val="22"/>
                <w:szCs w:val="22"/>
              </w:rPr>
              <w:t>Behaviour</w:t>
            </w:r>
            <w:proofErr w:type="spellEnd"/>
            <w:r w:rsidRPr="007D01AB">
              <w:rPr>
                <w:sz w:val="22"/>
                <w:szCs w:val="22"/>
              </w:rPr>
              <w:t>, Crime and Policing Act 2024</w:t>
            </w:r>
          </w:p>
        </w:tc>
        <w:tc>
          <w:tcPr>
            <w:tcW w:w="1559" w:type="dxa"/>
          </w:tcPr>
          <w:p w14:paraId="7CC0B184" w14:textId="75536646" w:rsidR="008660F6" w:rsidRPr="007D01AB" w:rsidRDefault="008660F6">
            <w:pPr>
              <w:rPr>
                <w:sz w:val="22"/>
                <w:szCs w:val="22"/>
              </w:rPr>
            </w:pPr>
            <w:r w:rsidRPr="007D01AB">
              <w:rPr>
                <w:sz w:val="22"/>
                <w:szCs w:val="22"/>
              </w:rPr>
              <w:t>Crime and Disorder Act 1998</w:t>
            </w:r>
          </w:p>
        </w:tc>
      </w:tr>
      <w:tr w:rsidR="008660F6" w14:paraId="1126920F" w14:textId="77777777" w:rsidTr="00824292">
        <w:tc>
          <w:tcPr>
            <w:tcW w:w="1558" w:type="dxa"/>
          </w:tcPr>
          <w:p w14:paraId="6380E964" w14:textId="02B87001" w:rsidR="008660F6" w:rsidRPr="007D01AB" w:rsidRDefault="008660F6">
            <w:pPr>
              <w:rPr>
                <w:sz w:val="22"/>
                <w:szCs w:val="22"/>
              </w:rPr>
            </w:pPr>
            <w:r w:rsidRPr="007D01AB">
              <w:rPr>
                <w:sz w:val="22"/>
                <w:szCs w:val="22"/>
              </w:rPr>
              <w:t xml:space="preserve">Age range of respondent </w:t>
            </w:r>
          </w:p>
        </w:tc>
        <w:tc>
          <w:tcPr>
            <w:tcW w:w="1558" w:type="dxa"/>
          </w:tcPr>
          <w:p w14:paraId="19418A3E" w14:textId="4CECA0F4" w:rsidR="008660F6" w:rsidRPr="007D01AB" w:rsidRDefault="008660F6">
            <w:pPr>
              <w:rPr>
                <w:sz w:val="22"/>
                <w:szCs w:val="22"/>
              </w:rPr>
            </w:pPr>
            <w:r w:rsidRPr="007D01AB">
              <w:rPr>
                <w:sz w:val="22"/>
                <w:szCs w:val="22"/>
              </w:rPr>
              <w:t>From age 18</w:t>
            </w:r>
          </w:p>
        </w:tc>
        <w:tc>
          <w:tcPr>
            <w:tcW w:w="1559" w:type="dxa"/>
          </w:tcPr>
          <w:p w14:paraId="4C4D6415" w14:textId="5A932FAD" w:rsidR="008660F6" w:rsidRPr="007D01AB" w:rsidRDefault="00824292">
            <w:pPr>
              <w:rPr>
                <w:sz w:val="22"/>
                <w:szCs w:val="22"/>
              </w:rPr>
            </w:pPr>
            <w:r w:rsidRPr="007D01AB">
              <w:rPr>
                <w:sz w:val="22"/>
                <w:szCs w:val="22"/>
              </w:rPr>
              <w:t>From 18</w:t>
            </w:r>
          </w:p>
        </w:tc>
        <w:tc>
          <w:tcPr>
            <w:tcW w:w="1558" w:type="dxa"/>
          </w:tcPr>
          <w:p w14:paraId="4CA68960" w14:textId="3BEB489C" w:rsidR="008660F6" w:rsidRPr="007D01AB" w:rsidRDefault="008660F6">
            <w:pPr>
              <w:rPr>
                <w:sz w:val="22"/>
                <w:szCs w:val="22"/>
              </w:rPr>
            </w:pPr>
            <w:r w:rsidRPr="007D01AB">
              <w:rPr>
                <w:sz w:val="22"/>
                <w:szCs w:val="22"/>
              </w:rPr>
              <w:t>From age 10 to age 18</w:t>
            </w:r>
          </w:p>
        </w:tc>
        <w:tc>
          <w:tcPr>
            <w:tcW w:w="1558" w:type="dxa"/>
          </w:tcPr>
          <w:p w14:paraId="02613103" w14:textId="0585906D" w:rsidR="008660F6" w:rsidRPr="007D01AB" w:rsidRDefault="008660F6">
            <w:pPr>
              <w:rPr>
                <w:sz w:val="22"/>
                <w:szCs w:val="22"/>
              </w:rPr>
            </w:pPr>
            <w:r w:rsidRPr="007D01AB">
              <w:rPr>
                <w:sz w:val="22"/>
                <w:szCs w:val="22"/>
              </w:rPr>
              <w:t xml:space="preserve">From age 10 </w:t>
            </w:r>
          </w:p>
        </w:tc>
        <w:tc>
          <w:tcPr>
            <w:tcW w:w="1559" w:type="dxa"/>
          </w:tcPr>
          <w:p w14:paraId="65A1F450" w14:textId="36103BA3" w:rsidR="008660F6" w:rsidRPr="007D01AB" w:rsidRDefault="008660F6">
            <w:pPr>
              <w:rPr>
                <w:sz w:val="22"/>
                <w:szCs w:val="22"/>
              </w:rPr>
            </w:pPr>
            <w:r w:rsidRPr="007D01AB">
              <w:rPr>
                <w:sz w:val="22"/>
                <w:szCs w:val="22"/>
              </w:rPr>
              <w:t>From age 10</w:t>
            </w:r>
          </w:p>
        </w:tc>
      </w:tr>
      <w:tr w:rsidR="008660F6" w14:paraId="6F4B19A6" w14:textId="77777777" w:rsidTr="00824292">
        <w:tc>
          <w:tcPr>
            <w:tcW w:w="1558" w:type="dxa"/>
          </w:tcPr>
          <w:p w14:paraId="5352BA0F" w14:textId="24A22B93" w:rsidR="008660F6" w:rsidRPr="007D01AB" w:rsidRDefault="008660F6">
            <w:pPr>
              <w:rPr>
                <w:sz w:val="22"/>
                <w:szCs w:val="22"/>
              </w:rPr>
            </w:pPr>
            <w:r w:rsidRPr="007D01AB">
              <w:rPr>
                <w:sz w:val="22"/>
                <w:szCs w:val="22"/>
              </w:rPr>
              <w:t>Court</w:t>
            </w:r>
          </w:p>
        </w:tc>
        <w:tc>
          <w:tcPr>
            <w:tcW w:w="1558" w:type="dxa"/>
          </w:tcPr>
          <w:p w14:paraId="27B8BF12" w14:textId="658DF441" w:rsidR="008660F6" w:rsidRPr="007D01AB" w:rsidRDefault="008660F6">
            <w:pPr>
              <w:rPr>
                <w:sz w:val="22"/>
                <w:szCs w:val="22"/>
              </w:rPr>
            </w:pPr>
            <w:r w:rsidRPr="007D01AB">
              <w:rPr>
                <w:sz w:val="22"/>
                <w:szCs w:val="22"/>
              </w:rPr>
              <w:t xml:space="preserve">County Court </w:t>
            </w:r>
          </w:p>
        </w:tc>
        <w:tc>
          <w:tcPr>
            <w:tcW w:w="1559" w:type="dxa"/>
          </w:tcPr>
          <w:p w14:paraId="73361B78" w14:textId="12A58A6A" w:rsidR="008660F6" w:rsidRPr="007D01AB" w:rsidRDefault="00BD7273">
            <w:pPr>
              <w:rPr>
                <w:sz w:val="22"/>
                <w:szCs w:val="22"/>
              </w:rPr>
            </w:pPr>
            <w:r w:rsidRPr="007D01AB">
              <w:rPr>
                <w:sz w:val="22"/>
                <w:szCs w:val="22"/>
              </w:rPr>
              <w:t xml:space="preserve">County Court </w:t>
            </w:r>
          </w:p>
        </w:tc>
        <w:tc>
          <w:tcPr>
            <w:tcW w:w="1558" w:type="dxa"/>
          </w:tcPr>
          <w:p w14:paraId="405CB0D2" w14:textId="63E2146A" w:rsidR="008660F6" w:rsidRPr="007D01AB" w:rsidRDefault="008660F6">
            <w:pPr>
              <w:rPr>
                <w:sz w:val="22"/>
                <w:szCs w:val="22"/>
              </w:rPr>
            </w:pPr>
            <w:r w:rsidRPr="007D01AB">
              <w:rPr>
                <w:sz w:val="22"/>
                <w:szCs w:val="22"/>
              </w:rPr>
              <w:t xml:space="preserve">Youth Court </w:t>
            </w:r>
          </w:p>
        </w:tc>
        <w:tc>
          <w:tcPr>
            <w:tcW w:w="1558" w:type="dxa"/>
          </w:tcPr>
          <w:p w14:paraId="5A388CCD" w14:textId="7F74D6AD" w:rsidR="008660F6" w:rsidRPr="007D01AB" w:rsidRDefault="008660F6">
            <w:pPr>
              <w:rPr>
                <w:sz w:val="22"/>
                <w:szCs w:val="22"/>
              </w:rPr>
            </w:pPr>
            <w:r w:rsidRPr="007D01AB">
              <w:rPr>
                <w:sz w:val="22"/>
                <w:szCs w:val="22"/>
              </w:rPr>
              <w:t xml:space="preserve">Adults - County Court </w:t>
            </w:r>
          </w:p>
          <w:p w14:paraId="6B51BA91" w14:textId="77777777" w:rsidR="008660F6" w:rsidRPr="007D01AB" w:rsidRDefault="008660F6">
            <w:pPr>
              <w:rPr>
                <w:sz w:val="22"/>
                <w:szCs w:val="22"/>
              </w:rPr>
            </w:pPr>
          </w:p>
          <w:p w14:paraId="7586E569" w14:textId="24D249B6" w:rsidR="008660F6" w:rsidRPr="007D01AB" w:rsidRDefault="008660F6">
            <w:pPr>
              <w:rPr>
                <w:sz w:val="22"/>
                <w:szCs w:val="22"/>
              </w:rPr>
            </w:pPr>
            <w:r w:rsidRPr="007D01AB">
              <w:rPr>
                <w:sz w:val="22"/>
                <w:szCs w:val="22"/>
              </w:rPr>
              <w:t xml:space="preserve">Under 18 years old - Youth Court </w:t>
            </w:r>
          </w:p>
        </w:tc>
        <w:tc>
          <w:tcPr>
            <w:tcW w:w="1559" w:type="dxa"/>
          </w:tcPr>
          <w:p w14:paraId="2CA28ADC" w14:textId="30098FD6" w:rsidR="008660F6" w:rsidRPr="007D01AB" w:rsidRDefault="008660F6">
            <w:pPr>
              <w:rPr>
                <w:sz w:val="22"/>
                <w:szCs w:val="22"/>
              </w:rPr>
            </w:pPr>
            <w:r w:rsidRPr="007D01AB">
              <w:rPr>
                <w:sz w:val="22"/>
                <w:szCs w:val="22"/>
              </w:rPr>
              <w:t xml:space="preserve">Adults - Magistrates Court. </w:t>
            </w:r>
          </w:p>
          <w:p w14:paraId="7E554083" w14:textId="77777777" w:rsidR="008660F6" w:rsidRPr="007D01AB" w:rsidRDefault="008660F6">
            <w:pPr>
              <w:rPr>
                <w:sz w:val="22"/>
                <w:szCs w:val="22"/>
              </w:rPr>
            </w:pPr>
          </w:p>
          <w:p w14:paraId="531BDF1C" w14:textId="2798E803" w:rsidR="008660F6" w:rsidRPr="007D01AB" w:rsidRDefault="008660F6">
            <w:pPr>
              <w:rPr>
                <w:sz w:val="22"/>
                <w:szCs w:val="22"/>
              </w:rPr>
            </w:pPr>
            <w:r w:rsidRPr="007D01AB">
              <w:rPr>
                <w:sz w:val="22"/>
                <w:szCs w:val="22"/>
              </w:rPr>
              <w:t xml:space="preserve">Under 18 years old - Youth Court </w:t>
            </w:r>
          </w:p>
        </w:tc>
      </w:tr>
      <w:tr w:rsidR="008567DD" w14:paraId="2CBC2E0B" w14:textId="77777777" w:rsidTr="00824292">
        <w:tc>
          <w:tcPr>
            <w:tcW w:w="1558" w:type="dxa"/>
          </w:tcPr>
          <w:p w14:paraId="63D0185E" w14:textId="6F68002D" w:rsidR="008567DD" w:rsidRPr="007D01AB" w:rsidRDefault="008567DD" w:rsidP="008567DD">
            <w:pPr>
              <w:rPr>
                <w:sz w:val="22"/>
                <w:szCs w:val="22"/>
              </w:rPr>
            </w:pPr>
            <w:r w:rsidRPr="007D01AB">
              <w:rPr>
                <w:sz w:val="22"/>
                <w:szCs w:val="22"/>
              </w:rPr>
              <w:t xml:space="preserve">Threshold </w:t>
            </w:r>
          </w:p>
        </w:tc>
        <w:tc>
          <w:tcPr>
            <w:tcW w:w="1558" w:type="dxa"/>
          </w:tcPr>
          <w:p w14:paraId="4143C1C3" w14:textId="4244E849" w:rsidR="008567DD" w:rsidRPr="00DC2C9F" w:rsidRDefault="007D01AB" w:rsidP="008567DD">
            <w:pPr>
              <w:rPr>
                <w:rFonts w:ascii="Arial" w:hAnsi="Arial" w:cs="Arial"/>
                <w:i/>
                <w:iCs/>
                <w:sz w:val="22"/>
                <w:szCs w:val="22"/>
              </w:rPr>
            </w:pPr>
            <w:r w:rsidRPr="00DC2C9F">
              <w:rPr>
                <w:rFonts w:ascii="Arial" w:hAnsi="Arial" w:cs="Arial"/>
                <w:i/>
                <w:iCs/>
                <w:sz w:val="22"/>
                <w:szCs w:val="22"/>
              </w:rPr>
              <w:t>‘</w:t>
            </w:r>
            <w:proofErr w:type="spellStart"/>
            <w:r w:rsidR="008567DD" w:rsidRPr="00DC2C9F">
              <w:rPr>
                <w:rFonts w:ascii="Arial" w:hAnsi="Arial" w:cs="Arial"/>
                <w:i/>
                <w:iCs/>
                <w:sz w:val="22"/>
                <w:szCs w:val="22"/>
              </w:rPr>
              <w:t>Behaviour</w:t>
            </w:r>
            <w:proofErr w:type="spellEnd"/>
            <w:r w:rsidR="008567DD" w:rsidRPr="00DC2C9F">
              <w:rPr>
                <w:rFonts w:ascii="Arial" w:hAnsi="Arial" w:cs="Arial"/>
                <w:i/>
                <w:iCs/>
                <w:sz w:val="22"/>
                <w:szCs w:val="22"/>
              </w:rPr>
              <w:t xml:space="preserve"> that has caused or is likely to cause harassment, alarm or </w:t>
            </w:r>
            <w:proofErr w:type="gramStart"/>
            <w:r w:rsidR="008567DD" w:rsidRPr="00DC2C9F">
              <w:rPr>
                <w:rFonts w:ascii="Arial" w:hAnsi="Arial" w:cs="Arial"/>
                <w:i/>
                <w:iCs/>
                <w:sz w:val="22"/>
                <w:szCs w:val="22"/>
              </w:rPr>
              <w:t>distress</w:t>
            </w:r>
            <w:r w:rsidRPr="00DC2C9F">
              <w:rPr>
                <w:rFonts w:ascii="Arial" w:hAnsi="Arial" w:cs="Arial"/>
                <w:i/>
                <w:iCs/>
                <w:sz w:val="22"/>
                <w:szCs w:val="22"/>
              </w:rPr>
              <w:t>’</w:t>
            </w:r>
            <w:r w:rsidR="008567DD" w:rsidRPr="00DC2C9F">
              <w:rPr>
                <w:rFonts w:ascii="Arial" w:hAnsi="Arial" w:cs="Arial"/>
                <w:i/>
                <w:iCs/>
                <w:sz w:val="22"/>
                <w:szCs w:val="22"/>
              </w:rPr>
              <w:t>.</w:t>
            </w:r>
            <w:proofErr w:type="gramEnd"/>
            <w:r w:rsidR="008567DD" w:rsidRPr="00DC2C9F">
              <w:rPr>
                <w:rFonts w:ascii="Arial" w:hAnsi="Arial" w:cs="Arial"/>
                <w:i/>
                <w:iCs/>
                <w:sz w:val="22"/>
                <w:szCs w:val="22"/>
              </w:rPr>
              <w:t xml:space="preserve"> </w:t>
            </w:r>
          </w:p>
        </w:tc>
        <w:tc>
          <w:tcPr>
            <w:tcW w:w="1559" w:type="dxa"/>
          </w:tcPr>
          <w:p w14:paraId="7F8A5CD1" w14:textId="77777777" w:rsidR="007D01AB" w:rsidRDefault="008567DD" w:rsidP="008567DD">
            <w:pPr>
              <w:rPr>
                <w:sz w:val="22"/>
                <w:szCs w:val="22"/>
              </w:rPr>
            </w:pPr>
            <w:r w:rsidRPr="007D01AB">
              <w:rPr>
                <w:sz w:val="22"/>
                <w:szCs w:val="22"/>
              </w:rPr>
              <w:t xml:space="preserve">For ASB in the community, </w:t>
            </w:r>
          </w:p>
          <w:p w14:paraId="7D94F655" w14:textId="77777777" w:rsidR="007D01AB" w:rsidRDefault="007D01AB" w:rsidP="008567DD">
            <w:pPr>
              <w:rPr>
                <w:sz w:val="22"/>
                <w:szCs w:val="22"/>
              </w:rPr>
            </w:pPr>
          </w:p>
          <w:p w14:paraId="43F609AA" w14:textId="7A17C95D" w:rsidR="008567DD" w:rsidRPr="00DC2C9F" w:rsidRDefault="008567DD" w:rsidP="008567DD">
            <w:pPr>
              <w:rPr>
                <w:rFonts w:ascii="Arial" w:hAnsi="Arial" w:cs="Arial"/>
                <w:sz w:val="22"/>
                <w:szCs w:val="22"/>
              </w:rPr>
            </w:pPr>
            <w:r w:rsidRPr="00DC2C9F">
              <w:rPr>
                <w:rFonts w:ascii="Arial" w:hAnsi="Arial" w:cs="Arial"/>
                <w:sz w:val="22"/>
                <w:szCs w:val="22"/>
              </w:rPr>
              <w:t>‘</w:t>
            </w:r>
            <w:proofErr w:type="spellStart"/>
            <w:r w:rsidRPr="00DC2C9F">
              <w:rPr>
                <w:rFonts w:ascii="Arial" w:hAnsi="Arial" w:cs="Arial"/>
                <w:i/>
                <w:iCs/>
                <w:sz w:val="22"/>
                <w:szCs w:val="22"/>
              </w:rPr>
              <w:t>Behaviour</w:t>
            </w:r>
            <w:proofErr w:type="spellEnd"/>
            <w:r w:rsidRPr="00DC2C9F">
              <w:rPr>
                <w:rFonts w:ascii="Arial" w:hAnsi="Arial" w:cs="Arial"/>
                <w:i/>
                <w:iCs/>
                <w:sz w:val="22"/>
                <w:szCs w:val="22"/>
              </w:rPr>
              <w:t xml:space="preserve"> that has caused or is likely to cause harassment, alarm or </w:t>
            </w:r>
            <w:proofErr w:type="gramStart"/>
            <w:r w:rsidRPr="00DC2C9F">
              <w:rPr>
                <w:rFonts w:ascii="Arial" w:hAnsi="Arial" w:cs="Arial"/>
                <w:i/>
                <w:iCs/>
                <w:sz w:val="22"/>
                <w:szCs w:val="22"/>
              </w:rPr>
              <w:t>distress’.</w:t>
            </w:r>
            <w:proofErr w:type="gramEnd"/>
            <w:r w:rsidRPr="00DC2C9F">
              <w:rPr>
                <w:rFonts w:ascii="Arial" w:hAnsi="Arial" w:cs="Arial"/>
                <w:sz w:val="22"/>
                <w:szCs w:val="22"/>
              </w:rPr>
              <w:t xml:space="preserve"> </w:t>
            </w:r>
          </w:p>
          <w:p w14:paraId="50DD9466" w14:textId="77777777" w:rsidR="008567DD" w:rsidRPr="007D01AB" w:rsidRDefault="008567DD" w:rsidP="008567DD">
            <w:pPr>
              <w:rPr>
                <w:sz w:val="22"/>
                <w:szCs w:val="22"/>
              </w:rPr>
            </w:pPr>
          </w:p>
          <w:p w14:paraId="241D8442" w14:textId="77777777" w:rsidR="001217B8" w:rsidRDefault="008567DD" w:rsidP="008567DD">
            <w:pPr>
              <w:rPr>
                <w:sz w:val="22"/>
                <w:szCs w:val="22"/>
              </w:rPr>
            </w:pPr>
            <w:r w:rsidRPr="007D01AB">
              <w:rPr>
                <w:sz w:val="22"/>
                <w:szCs w:val="22"/>
              </w:rPr>
              <w:t>For housing related ASB</w:t>
            </w:r>
          </w:p>
          <w:p w14:paraId="7123B2DE" w14:textId="77777777" w:rsidR="001217B8" w:rsidRDefault="001217B8" w:rsidP="008567DD">
            <w:pPr>
              <w:rPr>
                <w:sz w:val="22"/>
                <w:szCs w:val="22"/>
              </w:rPr>
            </w:pPr>
          </w:p>
          <w:p w14:paraId="5F92FE7F" w14:textId="0191D9F3" w:rsidR="008567DD" w:rsidRPr="00DC2C9F" w:rsidRDefault="008567DD" w:rsidP="008567DD">
            <w:pPr>
              <w:rPr>
                <w:rFonts w:ascii="Arial" w:hAnsi="Arial" w:cs="Arial"/>
                <w:sz w:val="22"/>
                <w:szCs w:val="22"/>
              </w:rPr>
            </w:pPr>
            <w:r w:rsidRPr="00DC2C9F">
              <w:rPr>
                <w:rFonts w:ascii="Arial" w:hAnsi="Arial" w:cs="Arial"/>
                <w:sz w:val="22"/>
                <w:szCs w:val="22"/>
              </w:rPr>
              <w:t>‘</w:t>
            </w:r>
            <w:r w:rsidRPr="00DC2C9F">
              <w:rPr>
                <w:rFonts w:ascii="Arial" w:hAnsi="Arial" w:cs="Arial"/>
                <w:i/>
                <w:iCs/>
                <w:sz w:val="22"/>
                <w:szCs w:val="22"/>
              </w:rPr>
              <w:t>Conduct capable of causing nuisance or annoyance’</w:t>
            </w:r>
          </w:p>
          <w:p w14:paraId="5F6D3A18" w14:textId="253A2821" w:rsidR="008567DD" w:rsidRPr="007D01AB" w:rsidRDefault="008567DD" w:rsidP="008567DD">
            <w:pPr>
              <w:rPr>
                <w:sz w:val="22"/>
                <w:szCs w:val="22"/>
              </w:rPr>
            </w:pPr>
            <w:r w:rsidRPr="007D01AB">
              <w:rPr>
                <w:sz w:val="22"/>
                <w:szCs w:val="22"/>
              </w:rPr>
              <w:t xml:space="preserve"> </w:t>
            </w:r>
          </w:p>
        </w:tc>
        <w:tc>
          <w:tcPr>
            <w:tcW w:w="1558" w:type="dxa"/>
          </w:tcPr>
          <w:p w14:paraId="7C5A85E7" w14:textId="1DD1EB40" w:rsidR="008567DD" w:rsidRPr="00DC2C9F" w:rsidRDefault="007D01AB" w:rsidP="008567DD">
            <w:pPr>
              <w:rPr>
                <w:rFonts w:ascii="Arial" w:hAnsi="Arial" w:cs="Arial"/>
                <w:i/>
                <w:iCs/>
                <w:sz w:val="22"/>
                <w:szCs w:val="22"/>
              </w:rPr>
            </w:pPr>
            <w:r w:rsidRPr="00DC2C9F">
              <w:rPr>
                <w:rFonts w:ascii="Arial" w:hAnsi="Arial" w:cs="Arial"/>
                <w:i/>
                <w:iCs/>
                <w:sz w:val="22"/>
                <w:szCs w:val="22"/>
              </w:rPr>
              <w:t>‘</w:t>
            </w:r>
            <w:r w:rsidR="008567DD" w:rsidRPr="00DC2C9F">
              <w:rPr>
                <w:rFonts w:ascii="Arial" w:hAnsi="Arial" w:cs="Arial"/>
                <w:i/>
                <w:iCs/>
                <w:sz w:val="22"/>
                <w:szCs w:val="22"/>
              </w:rPr>
              <w:t>Conduct capable of causing nuisance or annoyance’</w:t>
            </w:r>
          </w:p>
        </w:tc>
        <w:tc>
          <w:tcPr>
            <w:tcW w:w="1558" w:type="dxa"/>
          </w:tcPr>
          <w:p w14:paraId="16A8A08C" w14:textId="77777777" w:rsidR="001217B8" w:rsidRDefault="008567DD" w:rsidP="008567DD">
            <w:pPr>
              <w:rPr>
                <w:sz w:val="22"/>
                <w:szCs w:val="22"/>
              </w:rPr>
            </w:pPr>
            <w:r w:rsidRPr="007D01AB">
              <w:rPr>
                <w:sz w:val="22"/>
                <w:szCs w:val="22"/>
              </w:rPr>
              <w:t xml:space="preserve">For ASB in the community, </w:t>
            </w:r>
          </w:p>
          <w:p w14:paraId="203F18F1" w14:textId="77777777" w:rsidR="001217B8" w:rsidRDefault="001217B8" w:rsidP="008567DD">
            <w:pPr>
              <w:rPr>
                <w:sz w:val="22"/>
                <w:szCs w:val="22"/>
              </w:rPr>
            </w:pPr>
          </w:p>
          <w:p w14:paraId="3FD4F2DC" w14:textId="5E23D8C0" w:rsidR="008567DD" w:rsidRPr="00DC2C9F" w:rsidRDefault="008567DD" w:rsidP="008567DD">
            <w:pPr>
              <w:rPr>
                <w:rFonts w:ascii="Arial" w:hAnsi="Arial" w:cs="Arial"/>
                <w:i/>
                <w:iCs/>
                <w:sz w:val="22"/>
                <w:szCs w:val="22"/>
              </w:rPr>
            </w:pPr>
            <w:r w:rsidRPr="00DC2C9F">
              <w:rPr>
                <w:rFonts w:ascii="Arial" w:hAnsi="Arial" w:cs="Arial"/>
                <w:i/>
                <w:iCs/>
                <w:sz w:val="22"/>
                <w:szCs w:val="22"/>
              </w:rPr>
              <w:t>‘</w:t>
            </w:r>
            <w:proofErr w:type="spellStart"/>
            <w:r w:rsidRPr="00DC2C9F">
              <w:rPr>
                <w:rFonts w:ascii="Arial" w:hAnsi="Arial" w:cs="Arial"/>
                <w:i/>
                <w:iCs/>
                <w:sz w:val="22"/>
                <w:szCs w:val="22"/>
              </w:rPr>
              <w:t>Behaviour</w:t>
            </w:r>
            <w:proofErr w:type="spellEnd"/>
            <w:r w:rsidRPr="00DC2C9F">
              <w:rPr>
                <w:rFonts w:ascii="Arial" w:hAnsi="Arial" w:cs="Arial"/>
                <w:i/>
                <w:iCs/>
                <w:sz w:val="22"/>
                <w:szCs w:val="22"/>
              </w:rPr>
              <w:t xml:space="preserve"> that has caused or is likely to cause harassment, alarm or </w:t>
            </w:r>
            <w:proofErr w:type="gramStart"/>
            <w:r w:rsidRPr="00DC2C9F">
              <w:rPr>
                <w:rFonts w:ascii="Arial" w:hAnsi="Arial" w:cs="Arial"/>
                <w:i/>
                <w:iCs/>
                <w:sz w:val="22"/>
                <w:szCs w:val="22"/>
              </w:rPr>
              <w:t>distress’.</w:t>
            </w:r>
            <w:proofErr w:type="gramEnd"/>
            <w:r w:rsidRPr="00DC2C9F">
              <w:rPr>
                <w:rFonts w:ascii="Arial" w:hAnsi="Arial" w:cs="Arial"/>
                <w:i/>
                <w:iCs/>
                <w:sz w:val="22"/>
                <w:szCs w:val="22"/>
              </w:rPr>
              <w:t xml:space="preserve"> </w:t>
            </w:r>
          </w:p>
          <w:p w14:paraId="6775B6BD" w14:textId="77777777" w:rsidR="008567DD" w:rsidRPr="007D01AB" w:rsidRDefault="008567DD" w:rsidP="008567DD">
            <w:pPr>
              <w:rPr>
                <w:sz w:val="22"/>
                <w:szCs w:val="22"/>
              </w:rPr>
            </w:pPr>
          </w:p>
          <w:p w14:paraId="0964FF78" w14:textId="77777777" w:rsidR="001217B8" w:rsidRDefault="008567DD" w:rsidP="008567DD">
            <w:pPr>
              <w:rPr>
                <w:sz w:val="22"/>
                <w:szCs w:val="22"/>
              </w:rPr>
            </w:pPr>
            <w:r w:rsidRPr="007D01AB">
              <w:rPr>
                <w:sz w:val="22"/>
                <w:szCs w:val="22"/>
              </w:rPr>
              <w:t xml:space="preserve">For housing related ASB </w:t>
            </w:r>
          </w:p>
          <w:p w14:paraId="3403769E" w14:textId="77777777" w:rsidR="001217B8" w:rsidRDefault="001217B8" w:rsidP="008567DD">
            <w:pPr>
              <w:rPr>
                <w:sz w:val="22"/>
                <w:szCs w:val="22"/>
              </w:rPr>
            </w:pPr>
          </w:p>
          <w:p w14:paraId="29F0622E" w14:textId="02A94D34" w:rsidR="008567DD" w:rsidRPr="001217B8" w:rsidRDefault="008567DD" w:rsidP="008567DD">
            <w:pPr>
              <w:rPr>
                <w:i/>
                <w:iCs/>
                <w:sz w:val="22"/>
                <w:szCs w:val="22"/>
              </w:rPr>
            </w:pPr>
            <w:r w:rsidRPr="001217B8">
              <w:rPr>
                <w:i/>
                <w:iCs/>
                <w:sz w:val="22"/>
                <w:szCs w:val="22"/>
              </w:rPr>
              <w:t>‘</w:t>
            </w:r>
            <w:r w:rsidRPr="00DC2C9F">
              <w:rPr>
                <w:rFonts w:ascii="Arial" w:hAnsi="Arial" w:cs="Arial"/>
                <w:i/>
                <w:iCs/>
                <w:sz w:val="22"/>
                <w:szCs w:val="22"/>
              </w:rPr>
              <w:t>Conduct capable of causing nuisance or annoyance’</w:t>
            </w:r>
          </w:p>
          <w:p w14:paraId="37CFF14B" w14:textId="05F3394F" w:rsidR="008567DD" w:rsidRPr="007D01AB" w:rsidRDefault="008567DD" w:rsidP="008567DD">
            <w:pPr>
              <w:rPr>
                <w:sz w:val="22"/>
                <w:szCs w:val="22"/>
              </w:rPr>
            </w:pPr>
            <w:r w:rsidRPr="007D01AB">
              <w:rPr>
                <w:sz w:val="22"/>
                <w:szCs w:val="22"/>
              </w:rPr>
              <w:t xml:space="preserve"> </w:t>
            </w:r>
          </w:p>
        </w:tc>
        <w:tc>
          <w:tcPr>
            <w:tcW w:w="1559" w:type="dxa"/>
          </w:tcPr>
          <w:p w14:paraId="3921DF41" w14:textId="1EF566C9" w:rsidR="00D85C2F" w:rsidRPr="00DC2C9F" w:rsidRDefault="00DC2C9F" w:rsidP="00D85C2F">
            <w:pPr>
              <w:rPr>
                <w:rFonts w:ascii="Arial" w:hAnsi="Arial" w:cs="Arial"/>
                <w:i/>
                <w:iCs/>
                <w:sz w:val="22"/>
                <w:szCs w:val="22"/>
              </w:rPr>
            </w:pPr>
            <w:r>
              <w:rPr>
                <w:rFonts w:ascii="Arial" w:hAnsi="Arial" w:cs="Arial"/>
                <w:i/>
                <w:iCs/>
                <w:sz w:val="22"/>
                <w:szCs w:val="22"/>
              </w:rPr>
              <w:t>‘</w:t>
            </w:r>
            <w:r w:rsidR="00D85C2F" w:rsidRPr="00DC2C9F">
              <w:rPr>
                <w:rFonts w:ascii="Arial" w:hAnsi="Arial" w:cs="Arial"/>
                <w:i/>
                <w:iCs/>
                <w:sz w:val="22"/>
                <w:szCs w:val="22"/>
              </w:rPr>
              <w:t xml:space="preserve">Acted in a manner that caused or was likely to cause harassment, alarm or distress to one or more </w:t>
            </w:r>
            <w:proofErr w:type="gramStart"/>
            <w:r w:rsidR="00D85C2F" w:rsidRPr="00DC2C9F">
              <w:rPr>
                <w:rFonts w:ascii="Arial" w:hAnsi="Arial" w:cs="Arial"/>
                <w:i/>
                <w:iCs/>
                <w:sz w:val="22"/>
                <w:szCs w:val="22"/>
              </w:rPr>
              <w:t>persons</w:t>
            </w:r>
            <w:proofErr w:type="gramEnd"/>
            <w:r w:rsidR="00D85C2F" w:rsidRPr="00DC2C9F">
              <w:rPr>
                <w:rFonts w:ascii="Arial" w:hAnsi="Arial" w:cs="Arial"/>
                <w:i/>
                <w:iCs/>
                <w:sz w:val="22"/>
                <w:szCs w:val="22"/>
              </w:rPr>
              <w:t xml:space="preserve"> not of the same </w:t>
            </w:r>
            <w:proofErr w:type="gramStart"/>
            <w:r w:rsidR="00D85C2F" w:rsidRPr="00DC2C9F">
              <w:rPr>
                <w:rFonts w:ascii="Arial" w:hAnsi="Arial" w:cs="Arial"/>
                <w:i/>
                <w:iCs/>
                <w:sz w:val="22"/>
                <w:szCs w:val="22"/>
              </w:rPr>
              <w:t>household</w:t>
            </w:r>
            <w:r>
              <w:rPr>
                <w:rFonts w:ascii="Arial" w:hAnsi="Arial" w:cs="Arial"/>
                <w:i/>
                <w:iCs/>
                <w:sz w:val="22"/>
                <w:szCs w:val="22"/>
              </w:rPr>
              <w:t>’.</w:t>
            </w:r>
            <w:proofErr w:type="gramEnd"/>
          </w:p>
          <w:p w14:paraId="3F68A62F" w14:textId="77777777" w:rsidR="008567DD" w:rsidRPr="007D01AB" w:rsidRDefault="008567DD" w:rsidP="008567DD">
            <w:pPr>
              <w:rPr>
                <w:sz w:val="22"/>
                <w:szCs w:val="22"/>
              </w:rPr>
            </w:pPr>
          </w:p>
        </w:tc>
      </w:tr>
      <w:tr w:rsidR="00D67C3E" w14:paraId="0939B98F" w14:textId="77777777" w:rsidTr="00824292">
        <w:tc>
          <w:tcPr>
            <w:tcW w:w="1558" w:type="dxa"/>
          </w:tcPr>
          <w:p w14:paraId="3CC2092B" w14:textId="308B1213" w:rsidR="00D67C3E" w:rsidRPr="007D01AB" w:rsidRDefault="00D67C3E" w:rsidP="00D67C3E">
            <w:pPr>
              <w:rPr>
                <w:sz w:val="22"/>
                <w:szCs w:val="22"/>
              </w:rPr>
            </w:pPr>
            <w:r w:rsidRPr="007D01AB">
              <w:rPr>
                <w:sz w:val="22"/>
                <w:szCs w:val="22"/>
              </w:rPr>
              <w:t>Conditions</w:t>
            </w:r>
          </w:p>
        </w:tc>
        <w:tc>
          <w:tcPr>
            <w:tcW w:w="1558" w:type="dxa"/>
          </w:tcPr>
          <w:p w14:paraId="3384E94C" w14:textId="73188CF3" w:rsidR="00D67C3E" w:rsidRPr="007D01AB" w:rsidRDefault="00D67C3E" w:rsidP="00D67C3E">
            <w:pPr>
              <w:rPr>
                <w:sz w:val="22"/>
                <w:szCs w:val="22"/>
              </w:rPr>
            </w:pPr>
            <w:r w:rsidRPr="007D01AB">
              <w:rPr>
                <w:sz w:val="22"/>
                <w:szCs w:val="22"/>
              </w:rPr>
              <w:t xml:space="preserve">Prohibitions to restrict anti-social </w:t>
            </w:r>
            <w:proofErr w:type="spellStart"/>
            <w:r w:rsidRPr="007D01AB">
              <w:rPr>
                <w:sz w:val="22"/>
                <w:szCs w:val="22"/>
              </w:rPr>
              <w:t>behaviour</w:t>
            </w:r>
            <w:proofErr w:type="spellEnd"/>
            <w:r w:rsidRPr="007D01AB">
              <w:rPr>
                <w:sz w:val="22"/>
                <w:szCs w:val="22"/>
              </w:rPr>
              <w:t xml:space="preserve">. </w:t>
            </w:r>
          </w:p>
          <w:p w14:paraId="4FBB3C75" w14:textId="77777777" w:rsidR="00D67C3E" w:rsidRPr="007D01AB" w:rsidRDefault="00D67C3E" w:rsidP="00D67C3E">
            <w:pPr>
              <w:rPr>
                <w:sz w:val="22"/>
                <w:szCs w:val="22"/>
              </w:rPr>
            </w:pPr>
          </w:p>
          <w:p w14:paraId="0FBE10A2" w14:textId="0CF6CCB9" w:rsidR="00D67C3E" w:rsidRPr="007D01AB" w:rsidRDefault="00D67C3E" w:rsidP="00D67C3E">
            <w:pPr>
              <w:rPr>
                <w:sz w:val="22"/>
                <w:szCs w:val="22"/>
              </w:rPr>
            </w:pPr>
            <w:r w:rsidRPr="007D01AB">
              <w:rPr>
                <w:sz w:val="22"/>
                <w:szCs w:val="22"/>
              </w:rPr>
              <w:t>Can include an exclusion from the property regardless of tenure or household status.</w:t>
            </w:r>
          </w:p>
        </w:tc>
        <w:tc>
          <w:tcPr>
            <w:tcW w:w="1559" w:type="dxa"/>
          </w:tcPr>
          <w:p w14:paraId="53D38EB4" w14:textId="77777777" w:rsidR="00D67C3E" w:rsidRPr="007D01AB" w:rsidRDefault="00D67C3E" w:rsidP="00D67C3E">
            <w:pPr>
              <w:rPr>
                <w:sz w:val="22"/>
                <w:szCs w:val="22"/>
              </w:rPr>
            </w:pPr>
            <w:r w:rsidRPr="007D01AB">
              <w:rPr>
                <w:sz w:val="22"/>
                <w:szCs w:val="22"/>
              </w:rPr>
              <w:t xml:space="preserve">Prohibitions to restrict anti-social </w:t>
            </w:r>
            <w:proofErr w:type="spellStart"/>
            <w:r w:rsidRPr="007D01AB">
              <w:rPr>
                <w:sz w:val="22"/>
                <w:szCs w:val="22"/>
              </w:rPr>
              <w:t>behaviour</w:t>
            </w:r>
            <w:proofErr w:type="spellEnd"/>
            <w:r w:rsidRPr="007D01AB">
              <w:rPr>
                <w:sz w:val="22"/>
                <w:szCs w:val="22"/>
              </w:rPr>
              <w:t xml:space="preserve">. </w:t>
            </w:r>
          </w:p>
          <w:p w14:paraId="761662DC" w14:textId="77777777" w:rsidR="00D67C3E" w:rsidRPr="007D01AB" w:rsidRDefault="00D67C3E" w:rsidP="00D67C3E">
            <w:pPr>
              <w:rPr>
                <w:sz w:val="22"/>
                <w:szCs w:val="22"/>
              </w:rPr>
            </w:pPr>
          </w:p>
          <w:p w14:paraId="58A1D1CE" w14:textId="53DB7919" w:rsidR="00D67C3E" w:rsidRPr="007D01AB" w:rsidRDefault="00D67C3E" w:rsidP="00D67C3E">
            <w:pPr>
              <w:rPr>
                <w:sz w:val="22"/>
                <w:szCs w:val="22"/>
              </w:rPr>
            </w:pPr>
            <w:r w:rsidRPr="007D01AB">
              <w:rPr>
                <w:sz w:val="22"/>
                <w:szCs w:val="22"/>
              </w:rPr>
              <w:t>Can include an exclusion from the property regardless of tenure or household status.</w:t>
            </w:r>
          </w:p>
        </w:tc>
        <w:tc>
          <w:tcPr>
            <w:tcW w:w="1558" w:type="dxa"/>
          </w:tcPr>
          <w:p w14:paraId="567DBFF2" w14:textId="65C52ED0" w:rsidR="00D67C3E" w:rsidRPr="007D01AB" w:rsidRDefault="00D67C3E" w:rsidP="00D67C3E">
            <w:pPr>
              <w:rPr>
                <w:sz w:val="22"/>
                <w:szCs w:val="22"/>
              </w:rPr>
            </w:pPr>
            <w:r w:rsidRPr="007D01AB">
              <w:rPr>
                <w:sz w:val="22"/>
                <w:szCs w:val="22"/>
              </w:rPr>
              <w:t xml:space="preserve">Prohibitions to restrict anti-social </w:t>
            </w:r>
            <w:proofErr w:type="spellStart"/>
            <w:r w:rsidRPr="007D01AB">
              <w:rPr>
                <w:sz w:val="22"/>
                <w:szCs w:val="22"/>
              </w:rPr>
              <w:t>behaviour</w:t>
            </w:r>
            <w:proofErr w:type="spellEnd"/>
            <w:r w:rsidRPr="007D01AB">
              <w:rPr>
                <w:sz w:val="22"/>
                <w:szCs w:val="22"/>
              </w:rPr>
              <w:t xml:space="preserve">. </w:t>
            </w:r>
          </w:p>
          <w:p w14:paraId="134EF6BA" w14:textId="77777777" w:rsidR="00D67C3E" w:rsidRPr="007D01AB" w:rsidRDefault="00D67C3E" w:rsidP="00D67C3E">
            <w:pPr>
              <w:rPr>
                <w:sz w:val="22"/>
                <w:szCs w:val="22"/>
              </w:rPr>
            </w:pPr>
          </w:p>
        </w:tc>
        <w:tc>
          <w:tcPr>
            <w:tcW w:w="1558" w:type="dxa"/>
          </w:tcPr>
          <w:p w14:paraId="438CE13D" w14:textId="1349DA78" w:rsidR="00D67C3E" w:rsidRPr="007D01AB" w:rsidRDefault="00D67C3E" w:rsidP="00D67C3E">
            <w:pPr>
              <w:rPr>
                <w:sz w:val="22"/>
                <w:szCs w:val="22"/>
              </w:rPr>
            </w:pPr>
            <w:r w:rsidRPr="007D01AB">
              <w:rPr>
                <w:sz w:val="22"/>
                <w:szCs w:val="22"/>
              </w:rPr>
              <w:t xml:space="preserve">Prohibitions to restrict anti-social </w:t>
            </w:r>
            <w:proofErr w:type="spellStart"/>
            <w:r w:rsidRPr="007D01AB">
              <w:rPr>
                <w:sz w:val="22"/>
                <w:szCs w:val="22"/>
              </w:rPr>
              <w:t>behaviour</w:t>
            </w:r>
            <w:proofErr w:type="spellEnd"/>
            <w:r w:rsidRPr="007D01AB">
              <w:rPr>
                <w:sz w:val="22"/>
                <w:szCs w:val="22"/>
              </w:rPr>
              <w:t>.</w:t>
            </w:r>
          </w:p>
          <w:p w14:paraId="1F7ACC0E" w14:textId="77777777" w:rsidR="00D67C3E" w:rsidRPr="007D01AB" w:rsidRDefault="00D67C3E" w:rsidP="00D67C3E">
            <w:pPr>
              <w:rPr>
                <w:sz w:val="22"/>
                <w:szCs w:val="22"/>
              </w:rPr>
            </w:pPr>
          </w:p>
          <w:p w14:paraId="0990DFC3" w14:textId="44F2F97F" w:rsidR="00D67C3E" w:rsidRPr="007D01AB" w:rsidRDefault="00D67C3E" w:rsidP="00D67C3E">
            <w:pPr>
              <w:rPr>
                <w:sz w:val="22"/>
                <w:szCs w:val="22"/>
              </w:rPr>
            </w:pPr>
            <w:r w:rsidRPr="007D01AB">
              <w:rPr>
                <w:sz w:val="22"/>
                <w:szCs w:val="22"/>
              </w:rPr>
              <w:t>Can include an exclusion from the property regardless of tenure or household status.</w:t>
            </w:r>
          </w:p>
        </w:tc>
        <w:tc>
          <w:tcPr>
            <w:tcW w:w="1559" w:type="dxa"/>
          </w:tcPr>
          <w:p w14:paraId="15E4E534" w14:textId="7FC9C914" w:rsidR="00D67C3E" w:rsidRPr="007D01AB" w:rsidRDefault="00D67C3E" w:rsidP="00D67C3E">
            <w:pPr>
              <w:rPr>
                <w:sz w:val="22"/>
                <w:szCs w:val="22"/>
              </w:rPr>
            </w:pPr>
            <w:r w:rsidRPr="007D01AB">
              <w:rPr>
                <w:sz w:val="22"/>
                <w:szCs w:val="22"/>
              </w:rPr>
              <w:t xml:space="preserve">Prohibitions to restrict anti-social </w:t>
            </w:r>
            <w:proofErr w:type="spellStart"/>
            <w:r w:rsidRPr="007D01AB">
              <w:rPr>
                <w:sz w:val="22"/>
                <w:szCs w:val="22"/>
              </w:rPr>
              <w:t>behaviour</w:t>
            </w:r>
            <w:proofErr w:type="spellEnd"/>
            <w:r w:rsidRPr="007D01AB">
              <w:rPr>
                <w:sz w:val="22"/>
                <w:szCs w:val="22"/>
              </w:rPr>
              <w:t>.</w:t>
            </w:r>
          </w:p>
        </w:tc>
      </w:tr>
      <w:tr w:rsidR="00D67C3E" w14:paraId="4E2DB69F" w14:textId="77777777" w:rsidTr="00824292">
        <w:tc>
          <w:tcPr>
            <w:tcW w:w="1558" w:type="dxa"/>
          </w:tcPr>
          <w:p w14:paraId="7943DBEB" w14:textId="59B938F7" w:rsidR="00D67C3E" w:rsidRPr="007D01AB" w:rsidRDefault="00D67C3E" w:rsidP="00D67C3E">
            <w:pPr>
              <w:rPr>
                <w:sz w:val="22"/>
                <w:szCs w:val="22"/>
              </w:rPr>
            </w:pPr>
            <w:r w:rsidRPr="007D01AB">
              <w:rPr>
                <w:sz w:val="22"/>
                <w:szCs w:val="22"/>
              </w:rPr>
              <w:t>Positive requirements</w:t>
            </w:r>
          </w:p>
        </w:tc>
        <w:tc>
          <w:tcPr>
            <w:tcW w:w="1558" w:type="dxa"/>
          </w:tcPr>
          <w:p w14:paraId="0690693C" w14:textId="209A252C" w:rsidR="00D67C3E" w:rsidRPr="007D01AB" w:rsidRDefault="00D67C3E" w:rsidP="00D67C3E">
            <w:pPr>
              <w:rPr>
                <w:sz w:val="22"/>
                <w:szCs w:val="22"/>
              </w:rPr>
            </w:pPr>
            <w:r w:rsidRPr="007D01AB">
              <w:rPr>
                <w:sz w:val="22"/>
                <w:szCs w:val="22"/>
              </w:rPr>
              <w:t xml:space="preserve">Respondents could be </w:t>
            </w:r>
            <w:r w:rsidRPr="007D01AB">
              <w:rPr>
                <w:sz w:val="22"/>
                <w:szCs w:val="22"/>
              </w:rPr>
              <w:lastRenderedPageBreak/>
              <w:t xml:space="preserve">ordered to attend programs designed to support </w:t>
            </w:r>
            <w:proofErr w:type="spellStart"/>
            <w:r w:rsidRPr="007D01AB">
              <w:rPr>
                <w:sz w:val="22"/>
                <w:szCs w:val="22"/>
              </w:rPr>
              <w:t>behavioural</w:t>
            </w:r>
            <w:proofErr w:type="spellEnd"/>
            <w:r w:rsidRPr="007D01AB">
              <w:rPr>
                <w:sz w:val="22"/>
                <w:szCs w:val="22"/>
              </w:rPr>
              <w:t xml:space="preserve"> changes. </w:t>
            </w:r>
          </w:p>
        </w:tc>
        <w:tc>
          <w:tcPr>
            <w:tcW w:w="1559" w:type="dxa"/>
          </w:tcPr>
          <w:p w14:paraId="15004A32" w14:textId="65F92810" w:rsidR="00D67C3E" w:rsidRPr="007D01AB" w:rsidRDefault="00D67C3E" w:rsidP="00D67C3E">
            <w:pPr>
              <w:rPr>
                <w:sz w:val="22"/>
                <w:szCs w:val="22"/>
              </w:rPr>
            </w:pPr>
            <w:r w:rsidRPr="007D01AB">
              <w:rPr>
                <w:sz w:val="22"/>
                <w:szCs w:val="22"/>
              </w:rPr>
              <w:lastRenderedPageBreak/>
              <w:t xml:space="preserve">Respondents could be </w:t>
            </w:r>
            <w:r w:rsidRPr="007D01AB">
              <w:rPr>
                <w:sz w:val="22"/>
                <w:szCs w:val="22"/>
              </w:rPr>
              <w:lastRenderedPageBreak/>
              <w:t xml:space="preserve">ordered to attend programs designed to support </w:t>
            </w:r>
            <w:proofErr w:type="spellStart"/>
            <w:r w:rsidRPr="007D01AB">
              <w:rPr>
                <w:sz w:val="22"/>
                <w:szCs w:val="22"/>
              </w:rPr>
              <w:t>behavioural</w:t>
            </w:r>
            <w:proofErr w:type="spellEnd"/>
            <w:r w:rsidRPr="007D01AB">
              <w:rPr>
                <w:sz w:val="22"/>
                <w:szCs w:val="22"/>
              </w:rPr>
              <w:t xml:space="preserve"> changes.</w:t>
            </w:r>
          </w:p>
        </w:tc>
        <w:tc>
          <w:tcPr>
            <w:tcW w:w="1558" w:type="dxa"/>
          </w:tcPr>
          <w:p w14:paraId="771B6E1B" w14:textId="0FC5093E" w:rsidR="00D67C3E" w:rsidRPr="007D01AB" w:rsidRDefault="00D67C3E" w:rsidP="00D67C3E">
            <w:pPr>
              <w:rPr>
                <w:sz w:val="22"/>
                <w:szCs w:val="22"/>
              </w:rPr>
            </w:pPr>
            <w:r w:rsidRPr="007D01AB">
              <w:rPr>
                <w:sz w:val="22"/>
                <w:szCs w:val="22"/>
              </w:rPr>
              <w:lastRenderedPageBreak/>
              <w:t xml:space="preserve">Respondents could be </w:t>
            </w:r>
            <w:r w:rsidRPr="007D01AB">
              <w:rPr>
                <w:sz w:val="22"/>
                <w:szCs w:val="22"/>
              </w:rPr>
              <w:lastRenderedPageBreak/>
              <w:t xml:space="preserve">ordered to attend programs designed to support </w:t>
            </w:r>
            <w:proofErr w:type="spellStart"/>
            <w:r w:rsidRPr="007D01AB">
              <w:rPr>
                <w:sz w:val="22"/>
                <w:szCs w:val="22"/>
              </w:rPr>
              <w:t>behavioural</w:t>
            </w:r>
            <w:proofErr w:type="spellEnd"/>
            <w:r w:rsidRPr="007D01AB">
              <w:rPr>
                <w:sz w:val="22"/>
                <w:szCs w:val="22"/>
              </w:rPr>
              <w:t xml:space="preserve"> changes.</w:t>
            </w:r>
          </w:p>
        </w:tc>
        <w:tc>
          <w:tcPr>
            <w:tcW w:w="1558" w:type="dxa"/>
          </w:tcPr>
          <w:p w14:paraId="6D21E4CE" w14:textId="5ACA6FD7" w:rsidR="00D67C3E" w:rsidRPr="007D01AB" w:rsidRDefault="00D67C3E" w:rsidP="00D67C3E">
            <w:pPr>
              <w:rPr>
                <w:sz w:val="22"/>
                <w:szCs w:val="22"/>
              </w:rPr>
            </w:pPr>
            <w:r w:rsidRPr="007D01AB">
              <w:rPr>
                <w:sz w:val="22"/>
                <w:szCs w:val="22"/>
              </w:rPr>
              <w:lastRenderedPageBreak/>
              <w:t xml:space="preserve">Respondents could be </w:t>
            </w:r>
            <w:r w:rsidRPr="007D01AB">
              <w:rPr>
                <w:sz w:val="22"/>
                <w:szCs w:val="22"/>
              </w:rPr>
              <w:lastRenderedPageBreak/>
              <w:t xml:space="preserve">ordered to attend programs designed to support </w:t>
            </w:r>
            <w:proofErr w:type="spellStart"/>
            <w:r w:rsidRPr="007D01AB">
              <w:rPr>
                <w:sz w:val="22"/>
                <w:szCs w:val="22"/>
              </w:rPr>
              <w:t>behavioural</w:t>
            </w:r>
            <w:proofErr w:type="spellEnd"/>
            <w:r w:rsidRPr="007D01AB">
              <w:rPr>
                <w:sz w:val="22"/>
                <w:szCs w:val="22"/>
              </w:rPr>
              <w:t xml:space="preserve"> changes.</w:t>
            </w:r>
          </w:p>
        </w:tc>
        <w:tc>
          <w:tcPr>
            <w:tcW w:w="1559" w:type="dxa"/>
          </w:tcPr>
          <w:p w14:paraId="4853B403" w14:textId="77777777" w:rsidR="00D67C3E" w:rsidRPr="007D01AB" w:rsidRDefault="00D67C3E" w:rsidP="00D67C3E">
            <w:pPr>
              <w:rPr>
                <w:sz w:val="22"/>
                <w:szCs w:val="22"/>
              </w:rPr>
            </w:pPr>
          </w:p>
        </w:tc>
      </w:tr>
      <w:tr w:rsidR="00D67C3E" w14:paraId="3251730C" w14:textId="77777777" w:rsidTr="00824292">
        <w:tc>
          <w:tcPr>
            <w:tcW w:w="1558" w:type="dxa"/>
          </w:tcPr>
          <w:p w14:paraId="54966BE0" w14:textId="5E407C41" w:rsidR="00D67C3E" w:rsidRPr="007D01AB" w:rsidRDefault="00D67C3E" w:rsidP="00D67C3E">
            <w:pPr>
              <w:rPr>
                <w:sz w:val="22"/>
                <w:szCs w:val="22"/>
              </w:rPr>
            </w:pPr>
            <w:r w:rsidRPr="007D01AB">
              <w:rPr>
                <w:sz w:val="22"/>
                <w:szCs w:val="22"/>
              </w:rPr>
              <w:t>Who can make an application for an order</w:t>
            </w:r>
          </w:p>
        </w:tc>
        <w:tc>
          <w:tcPr>
            <w:tcW w:w="1558" w:type="dxa"/>
          </w:tcPr>
          <w:p w14:paraId="4AC3E24E" w14:textId="71208740" w:rsidR="00D67C3E" w:rsidRPr="007D01AB" w:rsidRDefault="00D67C3E" w:rsidP="00D67C3E">
            <w:pPr>
              <w:rPr>
                <w:sz w:val="22"/>
                <w:szCs w:val="22"/>
              </w:rPr>
            </w:pPr>
            <w:r w:rsidRPr="007D01AB">
              <w:rPr>
                <w:sz w:val="22"/>
                <w:szCs w:val="22"/>
              </w:rPr>
              <w:t xml:space="preserve">Housing Providers, Local Authorities and the Police. </w:t>
            </w:r>
          </w:p>
        </w:tc>
        <w:tc>
          <w:tcPr>
            <w:tcW w:w="1559" w:type="dxa"/>
          </w:tcPr>
          <w:p w14:paraId="3CD0C51F" w14:textId="6B2E56A3" w:rsidR="00D67C3E" w:rsidRPr="007D01AB" w:rsidRDefault="005F3E66" w:rsidP="00D67C3E">
            <w:pPr>
              <w:rPr>
                <w:sz w:val="22"/>
                <w:szCs w:val="22"/>
              </w:rPr>
            </w:pPr>
            <w:r w:rsidRPr="007D01AB">
              <w:rPr>
                <w:sz w:val="22"/>
                <w:szCs w:val="22"/>
              </w:rPr>
              <w:t>Housing Providers, Local Authorities and the Police.</w:t>
            </w:r>
          </w:p>
        </w:tc>
        <w:tc>
          <w:tcPr>
            <w:tcW w:w="1558" w:type="dxa"/>
          </w:tcPr>
          <w:p w14:paraId="1552A38F" w14:textId="69249E10" w:rsidR="00D67C3E" w:rsidRPr="007D01AB" w:rsidRDefault="00D67C3E" w:rsidP="00D67C3E">
            <w:pPr>
              <w:rPr>
                <w:sz w:val="22"/>
                <w:szCs w:val="22"/>
              </w:rPr>
            </w:pPr>
            <w:r w:rsidRPr="007D01AB">
              <w:rPr>
                <w:sz w:val="22"/>
                <w:szCs w:val="22"/>
              </w:rPr>
              <w:t>Housing Providers, Local Authorities and the Police.</w:t>
            </w:r>
          </w:p>
        </w:tc>
        <w:tc>
          <w:tcPr>
            <w:tcW w:w="1558" w:type="dxa"/>
          </w:tcPr>
          <w:p w14:paraId="57CD9D6E" w14:textId="71DBB8EF" w:rsidR="00D67C3E" w:rsidRPr="007D01AB" w:rsidRDefault="00D67C3E" w:rsidP="00D67C3E">
            <w:pPr>
              <w:rPr>
                <w:sz w:val="22"/>
                <w:szCs w:val="22"/>
              </w:rPr>
            </w:pPr>
            <w:r w:rsidRPr="007D01AB">
              <w:rPr>
                <w:sz w:val="22"/>
                <w:szCs w:val="22"/>
              </w:rPr>
              <w:t>Housing Providers, Local Authorities and the Police.</w:t>
            </w:r>
          </w:p>
        </w:tc>
        <w:tc>
          <w:tcPr>
            <w:tcW w:w="1559" w:type="dxa"/>
          </w:tcPr>
          <w:p w14:paraId="061D6FAA" w14:textId="60050D73" w:rsidR="00D67C3E" w:rsidRPr="007D01AB" w:rsidRDefault="00D67C3E" w:rsidP="00D67C3E">
            <w:pPr>
              <w:rPr>
                <w:sz w:val="22"/>
                <w:szCs w:val="22"/>
              </w:rPr>
            </w:pPr>
            <w:r w:rsidRPr="007D01AB">
              <w:rPr>
                <w:sz w:val="22"/>
                <w:szCs w:val="22"/>
              </w:rPr>
              <w:t>Housing Providers, Local Authorities and the Police.</w:t>
            </w:r>
          </w:p>
        </w:tc>
      </w:tr>
      <w:tr w:rsidR="00D67C3E" w14:paraId="5A2CCB3C" w14:textId="77777777" w:rsidTr="00824292">
        <w:tc>
          <w:tcPr>
            <w:tcW w:w="1558" w:type="dxa"/>
          </w:tcPr>
          <w:p w14:paraId="6ADCD5A7" w14:textId="7B1D42D4" w:rsidR="00D67C3E" w:rsidRPr="007D01AB" w:rsidRDefault="00D67C3E" w:rsidP="00D67C3E">
            <w:pPr>
              <w:rPr>
                <w:sz w:val="22"/>
                <w:szCs w:val="22"/>
              </w:rPr>
            </w:pPr>
            <w:r w:rsidRPr="007D01AB">
              <w:rPr>
                <w:sz w:val="22"/>
                <w:szCs w:val="22"/>
              </w:rPr>
              <w:t xml:space="preserve">Burden of proof </w:t>
            </w:r>
          </w:p>
        </w:tc>
        <w:tc>
          <w:tcPr>
            <w:tcW w:w="1558" w:type="dxa"/>
          </w:tcPr>
          <w:p w14:paraId="34FD5045" w14:textId="59C4537C" w:rsidR="00D67C3E" w:rsidRPr="007D01AB" w:rsidRDefault="00D67C3E" w:rsidP="00D67C3E">
            <w:pPr>
              <w:rPr>
                <w:sz w:val="22"/>
                <w:szCs w:val="22"/>
              </w:rPr>
            </w:pPr>
            <w:r w:rsidRPr="007D01AB">
              <w:rPr>
                <w:sz w:val="22"/>
                <w:szCs w:val="22"/>
              </w:rPr>
              <w:t xml:space="preserve">Because the order is by a civil application the burden of proof is based on the </w:t>
            </w:r>
            <w:r w:rsidRPr="007D01AB">
              <w:rPr>
                <w:b/>
                <w:bCs/>
                <w:sz w:val="22"/>
                <w:szCs w:val="22"/>
              </w:rPr>
              <w:t>balance of probability</w:t>
            </w:r>
            <w:r w:rsidRPr="007D01AB">
              <w:rPr>
                <w:sz w:val="22"/>
                <w:szCs w:val="22"/>
              </w:rPr>
              <w:t xml:space="preserve"> </w:t>
            </w:r>
          </w:p>
        </w:tc>
        <w:tc>
          <w:tcPr>
            <w:tcW w:w="1559" w:type="dxa"/>
          </w:tcPr>
          <w:p w14:paraId="49931404" w14:textId="4EF2B277" w:rsidR="00D67C3E" w:rsidRPr="007D01AB" w:rsidRDefault="00941911" w:rsidP="00D67C3E">
            <w:pPr>
              <w:rPr>
                <w:sz w:val="22"/>
                <w:szCs w:val="22"/>
              </w:rPr>
            </w:pPr>
            <w:r w:rsidRPr="007D01AB">
              <w:rPr>
                <w:sz w:val="22"/>
                <w:szCs w:val="22"/>
              </w:rPr>
              <w:t xml:space="preserve">Because the order is by a civil application the burden of proof is based on the </w:t>
            </w:r>
            <w:r w:rsidRPr="007D01AB">
              <w:rPr>
                <w:b/>
                <w:bCs/>
                <w:sz w:val="22"/>
                <w:szCs w:val="22"/>
              </w:rPr>
              <w:t>balance of probability</w:t>
            </w:r>
          </w:p>
        </w:tc>
        <w:tc>
          <w:tcPr>
            <w:tcW w:w="1558" w:type="dxa"/>
          </w:tcPr>
          <w:p w14:paraId="39ED54E2" w14:textId="4D838506" w:rsidR="00D67C3E" w:rsidRPr="007D01AB" w:rsidRDefault="00D67C3E" w:rsidP="00D67C3E">
            <w:pPr>
              <w:rPr>
                <w:sz w:val="22"/>
                <w:szCs w:val="22"/>
              </w:rPr>
            </w:pPr>
            <w:r w:rsidRPr="007D01AB">
              <w:rPr>
                <w:sz w:val="22"/>
                <w:szCs w:val="22"/>
              </w:rPr>
              <w:t xml:space="preserve">Because the order is by a civil application the burden of proof is based on the </w:t>
            </w:r>
            <w:r w:rsidRPr="007D01AB">
              <w:rPr>
                <w:b/>
                <w:bCs/>
                <w:sz w:val="22"/>
                <w:szCs w:val="22"/>
              </w:rPr>
              <w:t>balance of probability</w:t>
            </w:r>
          </w:p>
        </w:tc>
        <w:tc>
          <w:tcPr>
            <w:tcW w:w="1558" w:type="dxa"/>
          </w:tcPr>
          <w:p w14:paraId="74FD306B" w14:textId="6566F5B7" w:rsidR="00D67C3E" w:rsidRPr="007D01AB" w:rsidRDefault="00D67C3E" w:rsidP="00D67C3E">
            <w:pPr>
              <w:rPr>
                <w:sz w:val="22"/>
                <w:szCs w:val="22"/>
              </w:rPr>
            </w:pPr>
            <w:r w:rsidRPr="007D01AB">
              <w:rPr>
                <w:sz w:val="22"/>
                <w:szCs w:val="22"/>
              </w:rPr>
              <w:t xml:space="preserve">Because the order is by a civil application the burden of proof is based on the </w:t>
            </w:r>
            <w:r w:rsidRPr="007D01AB">
              <w:rPr>
                <w:b/>
                <w:bCs/>
                <w:sz w:val="22"/>
                <w:szCs w:val="22"/>
              </w:rPr>
              <w:t>balance of probability</w:t>
            </w:r>
          </w:p>
        </w:tc>
        <w:tc>
          <w:tcPr>
            <w:tcW w:w="1559" w:type="dxa"/>
          </w:tcPr>
          <w:p w14:paraId="30377268" w14:textId="42D9D6B2" w:rsidR="00D67C3E" w:rsidRPr="007D01AB" w:rsidRDefault="00D67C3E" w:rsidP="00D67C3E">
            <w:pPr>
              <w:rPr>
                <w:sz w:val="22"/>
                <w:szCs w:val="22"/>
              </w:rPr>
            </w:pPr>
            <w:r w:rsidRPr="007D01AB">
              <w:rPr>
                <w:sz w:val="22"/>
                <w:szCs w:val="22"/>
              </w:rPr>
              <w:t xml:space="preserve">Because the order is by a civil application the burden of proof is based on the </w:t>
            </w:r>
            <w:r w:rsidRPr="007D01AB">
              <w:rPr>
                <w:b/>
                <w:bCs/>
                <w:sz w:val="22"/>
                <w:szCs w:val="22"/>
              </w:rPr>
              <w:t>balance of probability</w:t>
            </w:r>
          </w:p>
        </w:tc>
      </w:tr>
      <w:tr w:rsidR="00D67C3E" w14:paraId="2062A1DC" w14:textId="77777777" w:rsidTr="00824292">
        <w:tc>
          <w:tcPr>
            <w:tcW w:w="1558" w:type="dxa"/>
          </w:tcPr>
          <w:p w14:paraId="5788D61E" w14:textId="77777777" w:rsidR="00D67C3E" w:rsidRPr="007D01AB" w:rsidRDefault="00D67C3E" w:rsidP="00D67C3E">
            <w:pPr>
              <w:rPr>
                <w:sz w:val="22"/>
                <w:szCs w:val="22"/>
              </w:rPr>
            </w:pPr>
            <w:r w:rsidRPr="007D01AB">
              <w:rPr>
                <w:sz w:val="22"/>
                <w:szCs w:val="22"/>
              </w:rPr>
              <w:t xml:space="preserve">Breach </w:t>
            </w:r>
          </w:p>
        </w:tc>
        <w:tc>
          <w:tcPr>
            <w:tcW w:w="1558" w:type="dxa"/>
          </w:tcPr>
          <w:p w14:paraId="378B2473" w14:textId="77777777" w:rsidR="00D67C3E" w:rsidRPr="007D01AB" w:rsidRDefault="00D67C3E" w:rsidP="00D67C3E">
            <w:pPr>
              <w:rPr>
                <w:sz w:val="22"/>
                <w:szCs w:val="22"/>
              </w:rPr>
            </w:pPr>
            <w:r w:rsidRPr="007D01AB">
              <w:rPr>
                <w:sz w:val="22"/>
                <w:szCs w:val="22"/>
              </w:rPr>
              <w:t xml:space="preserve">Breach </w:t>
            </w:r>
            <w:r w:rsidRPr="007D01AB">
              <w:rPr>
                <w:b/>
                <w:bCs/>
                <w:sz w:val="22"/>
                <w:szCs w:val="22"/>
              </w:rPr>
              <w:t>is</w:t>
            </w:r>
            <w:r w:rsidRPr="007D01AB">
              <w:rPr>
                <w:sz w:val="22"/>
                <w:szCs w:val="22"/>
              </w:rPr>
              <w:t xml:space="preserve"> a criminal offence and automatically carries the power of arrest </w:t>
            </w:r>
          </w:p>
        </w:tc>
        <w:tc>
          <w:tcPr>
            <w:tcW w:w="1559" w:type="dxa"/>
          </w:tcPr>
          <w:p w14:paraId="017FDD8B" w14:textId="7741B80D" w:rsidR="00D67C3E" w:rsidRPr="007D01AB" w:rsidRDefault="00A06BDC" w:rsidP="00D67C3E">
            <w:pPr>
              <w:rPr>
                <w:sz w:val="22"/>
                <w:szCs w:val="22"/>
              </w:rPr>
            </w:pPr>
            <w:r w:rsidRPr="007D01AB">
              <w:rPr>
                <w:sz w:val="22"/>
                <w:szCs w:val="22"/>
              </w:rPr>
              <w:t>Breach</w:t>
            </w:r>
            <w:r w:rsidRPr="007D01AB">
              <w:rPr>
                <w:b/>
                <w:bCs/>
                <w:sz w:val="22"/>
                <w:szCs w:val="22"/>
              </w:rPr>
              <w:t xml:space="preserve"> is not </w:t>
            </w:r>
            <w:r w:rsidRPr="007D01AB">
              <w:rPr>
                <w:sz w:val="22"/>
                <w:szCs w:val="22"/>
              </w:rPr>
              <w:t>a criminal offence but is a contempt of court and is dealt with by summons unless the power of arrest is granted when the order is applied for</w:t>
            </w:r>
          </w:p>
        </w:tc>
        <w:tc>
          <w:tcPr>
            <w:tcW w:w="1558" w:type="dxa"/>
          </w:tcPr>
          <w:p w14:paraId="55B5CC6E" w14:textId="184EE896" w:rsidR="00D67C3E" w:rsidRPr="007D01AB" w:rsidRDefault="00D67C3E" w:rsidP="00D67C3E">
            <w:pPr>
              <w:rPr>
                <w:sz w:val="22"/>
                <w:szCs w:val="22"/>
              </w:rPr>
            </w:pPr>
            <w:r w:rsidRPr="007D01AB">
              <w:rPr>
                <w:sz w:val="22"/>
                <w:szCs w:val="22"/>
              </w:rPr>
              <w:t xml:space="preserve">Breach </w:t>
            </w:r>
            <w:r w:rsidRPr="007D01AB">
              <w:rPr>
                <w:b/>
                <w:bCs/>
                <w:sz w:val="22"/>
                <w:szCs w:val="22"/>
              </w:rPr>
              <w:t>is not</w:t>
            </w:r>
            <w:r w:rsidRPr="007D01AB">
              <w:rPr>
                <w:sz w:val="22"/>
                <w:szCs w:val="22"/>
              </w:rPr>
              <w:t xml:space="preserve"> a criminal offence but is a contempt of court and is dealt with by summons unless the power of arrest is granted when the order </w:t>
            </w:r>
            <w:r w:rsidR="00A06BDC" w:rsidRPr="007D01AB">
              <w:rPr>
                <w:sz w:val="22"/>
                <w:szCs w:val="22"/>
              </w:rPr>
              <w:t>is</w:t>
            </w:r>
            <w:r w:rsidRPr="007D01AB">
              <w:rPr>
                <w:sz w:val="22"/>
                <w:szCs w:val="22"/>
              </w:rPr>
              <w:t xml:space="preserve"> applied for</w:t>
            </w:r>
          </w:p>
        </w:tc>
        <w:tc>
          <w:tcPr>
            <w:tcW w:w="1558" w:type="dxa"/>
          </w:tcPr>
          <w:p w14:paraId="70022AAA" w14:textId="0961FD7F" w:rsidR="00D67C3E" w:rsidRPr="007D01AB" w:rsidRDefault="00D67C3E" w:rsidP="00D67C3E">
            <w:pPr>
              <w:rPr>
                <w:sz w:val="22"/>
                <w:szCs w:val="22"/>
              </w:rPr>
            </w:pPr>
            <w:r w:rsidRPr="007D01AB">
              <w:rPr>
                <w:sz w:val="22"/>
                <w:szCs w:val="22"/>
              </w:rPr>
              <w:t xml:space="preserve">Breach </w:t>
            </w:r>
            <w:r w:rsidRPr="007D01AB">
              <w:rPr>
                <w:b/>
                <w:bCs/>
                <w:sz w:val="22"/>
                <w:szCs w:val="22"/>
              </w:rPr>
              <w:t>is not</w:t>
            </w:r>
            <w:r w:rsidRPr="007D01AB">
              <w:rPr>
                <w:sz w:val="22"/>
                <w:szCs w:val="22"/>
              </w:rPr>
              <w:t xml:space="preserve"> a criminal offence but is a contempt of court and is dealt with by summons unless the power of arrest is granted when the order </w:t>
            </w:r>
            <w:proofErr w:type="gramStart"/>
            <w:r w:rsidR="00B63E35" w:rsidRPr="007D01AB">
              <w:rPr>
                <w:sz w:val="22"/>
                <w:szCs w:val="22"/>
              </w:rPr>
              <w:t>w</w:t>
            </w:r>
            <w:r w:rsidR="00B63E35">
              <w:rPr>
                <w:sz w:val="22"/>
                <w:szCs w:val="22"/>
              </w:rPr>
              <w:t>as</w:t>
            </w:r>
            <w:proofErr w:type="gramEnd"/>
            <w:r w:rsidRPr="007D01AB">
              <w:rPr>
                <w:sz w:val="22"/>
                <w:szCs w:val="22"/>
              </w:rPr>
              <w:t xml:space="preserve"> applied for</w:t>
            </w:r>
          </w:p>
        </w:tc>
        <w:tc>
          <w:tcPr>
            <w:tcW w:w="1559" w:type="dxa"/>
          </w:tcPr>
          <w:p w14:paraId="1E2BA243" w14:textId="77777777" w:rsidR="00D67C3E" w:rsidRPr="007D01AB" w:rsidRDefault="00D67C3E" w:rsidP="00D67C3E">
            <w:pPr>
              <w:rPr>
                <w:sz w:val="22"/>
                <w:szCs w:val="22"/>
              </w:rPr>
            </w:pPr>
            <w:r w:rsidRPr="007D01AB">
              <w:rPr>
                <w:sz w:val="22"/>
                <w:szCs w:val="22"/>
              </w:rPr>
              <w:t xml:space="preserve">Breach </w:t>
            </w:r>
            <w:r w:rsidRPr="007D01AB">
              <w:rPr>
                <w:b/>
                <w:bCs/>
                <w:sz w:val="22"/>
                <w:szCs w:val="22"/>
              </w:rPr>
              <w:t>was</w:t>
            </w:r>
            <w:r w:rsidRPr="007D01AB">
              <w:rPr>
                <w:sz w:val="22"/>
                <w:szCs w:val="22"/>
              </w:rPr>
              <w:t xml:space="preserve"> a criminal offence and automatically carries the power of arrest.</w:t>
            </w:r>
          </w:p>
          <w:p w14:paraId="0AFCAA67" w14:textId="77777777" w:rsidR="00D67C3E" w:rsidRPr="007D01AB" w:rsidRDefault="00D67C3E" w:rsidP="00D67C3E">
            <w:pPr>
              <w:rPr>
                <w:sz w:val="22"/>
                <w:szCs w:val="22"/>
              </w:rPr>
            </w:pPr>
          </w:p>
          <w:p w14:paraId="1A21DE87" w14:textId="77777777" w:rsidR="00D67C3E" w:rsidRPr="007D01AB" w:rsidRDefault="00D67C3E" w:rsidP="00D67C3E">
            <w:pPr>
              <w:rPr>
                <w:sz w:val="22"/>
                <w:szCs w:val="22"/>
              </w:rPr>
            </w:pPr>
          </w:p>
        </w:tc>
      </w:tr>
      <w:tr w:rsidR="002E201E" w14:paraId="2A5D3A85" w14:textId="77777777" w:rsidTr="00824292">
        <w:tc>
          <w:tcPr>
            <w:tcW w:w="1558" w:type="dxa"/>
          </w:tcPr>
          <w:p w14:paraId="4FA41DC7" w14:textId="754A9137" w:rsidR="002E201E" w:rsidRPr="007D01AB" w:rsidRDefault="002E201E" w:rsidP="002E201E">
            <w:pPr>
              <w:rPr>
                <w:sz w:val="22"/>
                <w:szCs w:val="22"/>
              </w:rPr>
            </w:pPr>
            <w:r w:rsidRPr="007D01AB">
              <w:rPr>
                <w:sz w:val="22"/>
                <w:szCs w:val="22"/>
              </w:rPr>
              <w:t xml:space="preserve">Burden of proof for a breach </w:t>
            </w:r>
          </w:p>
        </w:tc>
        <w:tc>
          <w:tcPr>
            <w:tcW w:w="1558" w:type="dxa"/>
          </w:tcPr>
          <w:p w14:paraId="433E4EEC" w14:textId="37C94E5D" w:rsidR="002E201E" w:rsidRPr="007D01AB" w:rsidRDefault="002E201E" w:rsidP="002E201E">
            <w:pPr>
              <w:rPr>
                <w:sz w:val="22"/>
                <w:szCs w:val="22"/>
              </w:rPr>
            </w:pPr>
            <w:r w:rsidRPr="007D01AB">
              <w:rPr>
                <w:sz w:val="22"/>
                <w:szCs w:val="22"/>
              </w:rPr>
              <w:t xml:space="preserve">A breach will need to be proved to the criminal standard of </w:t>
            </w:r>
            <w:r w:rsidRPr="007D01AB">
              <w:rPr>
                <w:b/>
                <w:bCs/>
                <w:sz w:val="22"/>
                <w:szCs w:val="22"/>
              </w:rPr>
              <w:t>beyond reasonable doubt</w:t>
            </w:r>
            <w:r w:rsidRPr="007D01AB">
              <w:rPr>
                <w:sz w:val="22"/>
                <w:szCs w:val="22"/>
              </w:rPr>
              <w:t xml:space="preserve"> because it could result in imprisonment</w:t>
            </w:r>
          </w:p>
          <w:p w14:paraId="66173129" w14:textId="1DB1A61C" w:rsidR="002E201E" w:rsidRPr="007D01AB" w:rsidRDefault="002E201E" w:rsidP="002E201E">
            <w:pPr>
              <w:rPr>
                <w:sz w:val="22"/>
                <w:szCs w:val="22"/>
              </w:rPr>
            </w:pPr>
          </w:p>
        </w:tc>
        <w:tc>
          <w:tcPr>
            <w:tcW w:w="1559" w:type="dxa"/>
          </w:tcPr>
          <w:p w14:paraId="3FD178D9" w14:textId="77777777" w:rsidR="002E201E" w:rsidRPr="007D01AB" w:rsidRDefault="002E201E" w:rsidP="002E201E">
            <w:pPr>
              <w:rPr>
                <w:sz w:val="22"/>
                <w:szCs w:val="22"/>
              </w:rPr>
            </w:pPr>
            <w:r w:rsidRPr="007D01AB">
              <w:rPr>
                <w:sz w:val="22"/>
                <w:szCs w:val="22"/>
              </w:rPr>
              <w:t xml:space="preserve">A breach will need to be proved to the criminal standard of </w:t>
            </w:r>
            <w:r w:rsidRPr="007D01AB">
              <w:rPr>
                <w:b/>
                <w:bCs/>
                <w:sz w:val="22"/>
                <w:szCs w:val="22"/>
              </w:rPr>
              <w:t>beyond reasonable doubt</w:t>
            </w:r>
            <w:r w:rsidRPr="007D01AB">
              <w:rPr>
                <w:sz w:val="22"/>
                <w:szCs w:val="22"/>
              </w:rPr>
              <w:t xml:space="preserve"> because it could result in imprisonment</w:t>
            </w:r>
          </w:p>
          <w:p w14:paraId="232B24DF" w14:textId="77777777" w:rsidR="002E201E" w:rsidRPr="007D01AB" w:rsidRDefault="002E201E" w:rsidP="002E201E">
            <w:pPr>
              <w:rPr>
                <w:sz w:val="22"/>
                <w:szCs w:val="22"/>
              </w:rPr>
            </w:pPr>
          </w:p>
        </w:tc>
        <w:tc>
          <w:tcPr>
            <w:tcW w:w="1558" w:type="dxa"/>
          </w:tcPr>
          <w:p w14:paraId="59824C62" w14:textId="3D7A9822" w:rsidR="002E201E" w:rsidRPr="007D01AB" w:rsidRDefault="002E201E" w:rsidP="002E201E">
            <w:pPr>
              <w:rPr>
                <w:sz w:val="22"/>
                <w:szCs w:val="22"/>
              </w:rPr>
            </w:pPr>
            <w:r w:rsidRPr="007D01AB">
              <w:rPr>
                <w:sz w:val="22"/>
                <w:szCs w:val="22"/>
              </w:rPr>
              <w:t xml:space="preserve">A breach will need to be proved to the criminal standard of </w:t>
            </w:r>
            <w:r w:rsidRPr="007D01AB">
              <w:rPr>
                <w:b/>
                <w:bCs/>
                <w:sz w:val="22"/>
                <w:szCs w:val="22"/>
              </w:rPr>
              <w:t>beyond reasonable doubt</w:t>
            </w:r>
            <w:r w:rsidRPr="007D01AB">
              <w:rPr>
                <w:sz w:val="22"/>
                <w:szCs w:val="22"/>
              </w:rPr>
              <w:t xml:space="preserve"> because it could result in imprisonment</w:t>
            </w:r>
          </w:p>
          <w:p w14:paraId="03A24868" w14:textId="77777777" w:rsidR="002E201E" w:rsidRPr="007D01AB" w:rsidRDefault="002E201E" w:rsidP="002E201E">
            <w:pPr>
              <w:rPr>
                <w:sz w:val="22"/>
                <w:szCs w:val="22"/>
              </w:rPr>
            </w:pPr>
          </w:p>
        </w:tc>
        <w:tc>
          <w:tcPr>
            <w:tcW w:w="1558" w:type="dxa"/>
          </w:tcPr>
          <w:p w14:paraId="4F4AD18C" w14:textId="307E9837" w:rsidR="002E201E" w:rsidRPr="007D01AB" w:rsidRDefault="002E201E" w:rsidP="002E201E">
            <w:pPr>
              <w:rPr>
                <w:sz w:val="22"/>
                <w:szCs w:val="22"/>
              </w:rPr>
            </w:pPr>
            <w:r w:rsidRPr="007D01AB">
              <w:rPr>
                <w:sz w:val="22"/>
                <w:szCs w:val="22"/>
              </w:rPr>
              <w:t xml:space="preserve">A breach had to be proved to the criminal standard of </w:t>
            </w:r>
            <w:r w:rsidRPr="007D01AB">
              <w:rPr>
                <w:b/>
                <w:bCs/>
                <w:sz w:val="22"/>
                <w:szCs w:val="22"/>
              </w:rPr>
              <w:t>beyond reasonable doubt</w:t>
            </w:r>
            <w:r w:rsidRPr="007D01AB">
              <w:rPr>
                <w:sz w:val="22"/>
                <w:szCs w:val="22"/>
              </w:rPr>
              <w:t xml:space="preserve"> because it could result in imprisonment</w:t>
            </w:r>
          </w:p>
          <w:p w14:paraId="22C5D1E1" w14:textId="77777777" w:rsidR="002E201E" w:rsidRPr="007D01AB" w:rsidRDefault="002E201E" w:rsidP="002E201E">
            <w:pPr>
              <w:rPr>
                <w:sz w:val="22"/>
                <w:szCs w:val="22"/>
              </w:rPr>
            </w:pPr>
          </w:p>
        </w:tc>
        <w:tc>
          <w:tcPr>
            <w:tcW w:w="1559" w:type="dxa"/>
          </w:tcPr>
          <w:p w14:paraId="50E892F4" w14:textId="77777777" w:rsidR="002E201E" w:rsidRPr="007D01AB" w:rsidRDefault="002E201E" w:rsidP="002E201E">
            <w:pPr>
              <w:rPr>
                <w:sz w:val="22"/>
                <w:szCs w:val="22"/>
              </w:rPr>
            </w:pPr>
            <w:r w:rsidRPr="007D01AB">
              <w:rPr>
                <w:sz w:val="22"/>
                <w:szCs w:val="22"/>
              </w:rPr>
              <w:t xml:space="preserve">A breach had to be proved to the criminal standard of </w:t>
            </w:r>
            <w:r w:rsidRPr="007D01AB">
              <w:rPr>
                <w:b/>
                <w:bCs/>
                <w:sz w:val="22"/>
                <w:szCs w:val="22"/>
              </w:rPr>
              <w:t>beyond reasonable doubt</w:t>
            </w:r>
            <w:r w:rsidRPr="007D01AB">
              <w:rPr>
                <w:sz w:val="22"/>
                <w:szCs w:val="22"/>
              </w:rPr>
              <w:t xml:space="preserve"> because it could result in imprisonment</w:t>
            </w:r>
          </w:p>
          <w:p w14:paraId="1A11725E" w14:textId="212E65CA" w:rsidR="002E201E" w:rsidRPr="007D01AB" w:rsidRDefault="002E201E" w:rsidP="002E201E">
            <w:pPr>
              <w:rPr>
                <w:sz w:val="22"/>
                <w:szCs w:val="22"/>
              </w:rPr>
            </w:pPr>
          </w:p>
        </w:tc>
      </w:tr>
      <w:tr w:rsidR="00A157CD" w14:paraId="5CB2BB33" w14:textId="77777777" w:rsidTr="00824292">
        <w:tc>
          <w:tcPr>
            <w:tcW w:w="1558" w:type="dxa"/>
          </w:tcPr>
          <w:p w14:paraId="6506F48A" w14:textId="02500872" w:rsidR="00A157CD" w:rsidRPr="007D01AB" w:rsidRDefault="00A157CD" w:rsidP="00A157CD">
            <w:pPr>
              <w:rPr>
                <w:sz w:val="22"/>
                <w:szCs w:val="22"/>
              </w:rPr>
            </w:pPr>
            <w:r w:rsidRPr="007D01AB">
              <w:rPr>
                <w:sz w:val="22"/>
                <w:szCs w:val="22"/>
              </w:rPr>
              <w:lastRenderedPageBreak/>
              <w:t xml:space="preserve">Possible penalties for breach </w:t>
            </w:r>
          </w:p>
        </w:tc>
        <w:tc>
          <w:tcPr>
            <w:tcW w:w="1558" w:type="dxa"/>
          </w:tcPr>
          <w:p w14:paraId="0EC7B06C" w14:textId="4788E2DD" w:rsidR="00A157CD" w:rsidRPr="007D01AB" w:rsidRDefault="00A157CD" w:rsidP="00A157CD">
            <w:pPr>
              <w:rPr>
                <w:sz w:val="22"/>
                <w:szCs w:val="22"/>
              </w:rPr>
            </w:pPr>
            <w:r w:rsidRPr="007D01AB">
              <w:rPr>
                <w:sz w:val="22"/>
                <w:szCs w:val="22"/>
              </w:rPr>
              <w:t>Imprisonment</w:t>
            </w:r>
            <w:r w:rsidR="00A84A3F" w:rsidRPr="007D01AB">
              <w:rPr>
                <w:sz w:val="22"/>
                <w:szCs w:val="22"/>
              </w:rPr>
              <w:t xml:space="preserve"> </w:t>
            </w:r>
            <w:r w:rsidRPr="007D01AB">
              <w:rPr>
                <w:sz w:val="22"/>
                <w:szCs w:val="22"/>
              </w:rPr>
              <w:t>for up to 2 years</w:t>
            </w:r>
          </w:p>
          <w:p w14:paraId="608B6D10" w14:textId="77777777" w:rsidR="00A157CD" w:rsidRPr="007D01AB" w:rsidRDefault="00A157CD" w:rsidP="00A157CD">
            <w:pPr>
              <w:rPr>
                <w:sz w:val="22"/>
                <w:szCs w:val="22"/>
              </w:rPr>
            </w:pPr>
          </w:p>
          <w:p w14:paraId="13BE77D6" w14:textId="68DF9876" w:rsidR="00A157CD" w:rsidRPr="007D01AB" w:rsidRDefault="00A157CD" w:rsidP="00A157CD">
            <w:pPr>
              <w:rPr>
                <w:sz w:val="22"/>
                <w:szCs w:val="22"/>
              </w:rPr>
            </w:pPr>
            <w:r w:rsidRPr="007D01AB">
              <w:rPr>
                <w:sz w:val="22"/>
                <w:szCs w:val="22"/>
              </w:rPr>
              <w:t xml:space="preserve">Community penalty </w:t>
            </w:r>
          </w:p>
          <w:p w14:paraId="433A9A4A" w14:textId="77777777" w:rsidR="00A157CD" w:rsidRPr="007D01AB" w:rsidRDefault="00A157CD" w:rsidP="00A157CD">
            <w:pPr>
              <w:rPr>
                <w:sz w:val="22"/>
                <w:szCs w:val="22"/>
              </w:rPr>
            </w:pPr>
          </w:p>
          <w:p w14:paraId="56E0484B" w14:textId="534CFBC6" w:rsidR="00A157CD" w:rsidRPr="007D01AB" w:rsidRDefault="00A157CD" w:rsidP="00A157CD">
            <w:pPr>
              <w:rPr>
                <w:sz w:val="22"/>
                <w:szCs w:val="22"/>
              </w:rPr>
            </w:pPr>
            <w:r w:rsidRPr="007D01AB">
              <w:rPr>
                <w:sz w:val="22"/>
                <w:szCs w:val="22"/>
              </w:rPr>
              <w:t xml:space="preserve">Unlimited Fine </w:t>
            </w:r>
          </w:p>
        </w:tc>
        <w:tc>
          <w:tcPr>
            <w:tcW w:w="1559" w:type="dxa"/>
          </w:tcPr>
          <w:p w14:paraId="53C9CB59" w14:textId="69740C6D" w:rsidR="00F50776" w:rsidRPr="007D01AB" w:rsidRDefault="00F50776" w:rsidP="006C780C">
            <w:pPr>
              <w:rPr>
                <w:sz w:val="22"/>
                <w:szCs w:val="22"/>
              </w:rPr>
            </w:pPr>
            <w:r w:rsidRPr="007D01AB">
              <w:rPr>
                <w:sz w:val="22"/>
                <w:szCs w:val="22"/>
              </w:rPr>
              <w:t xml:space="preserve">Committal to </w:t>
            </w:r>
            <w:r w:rsidR="00267EA2" w:rsidRPr="007D01AB">
              <w:rPr>
                <w:sz w:val="22"/>
                <w:szCs w:val="22"/>
              </w:rPr>
              <w:t>court</w:t>
            </w:r>
            <w:r w:rsidR="00AF72BC" w:rsidRPr="007D01AB">
              <w:rPr>
                <w:sz w:val="22"/>
                <w:szCs w:val="22"/>
              </w:rPr>
              <w:t>, with possible imprisonment for up to 2 years.</w:t>
            </w:r>
          </w:p>
          <w:p w14:paraId="58A829F3" w14:textId="77777777" w:rsidR="00A157CD" w:rsidRPr="007D01AB" w:rsidRDefault="00A157CD" w:rsidP="00A157CD">
            <w:pPr>
              <w:rPr>
                <w:sz w:val="22"/>
                <w:szCs w:val="22"/>
              </w:rPr>
            </w:pPr>
          </w:p>
          <w:p w14:paraId="7542503E" w14:textId="5695EBCF" w:rsidR="00A157CD" w:rsidRPr="007D01AB" w:rsidRDefault="00333986" w:rsidP="00A157CD">
            <w:pPr>
              <w:rPr>
                <w:sz w:val="22"/>
                <w:szCs w:val="22"/>
              </w:rPr>
            </w:pPr>
            <w:r w:rsidRPr="007D01AB">
              <w:rPr>
                <w:sz w:val="22"/>
                <w:szCs w:val="22"/>
              </w:rPr>
              <w:t xml:space="preserve">A fine of an appropriate and </w:t>
            </w:r>
            <w:r w:rsidR="0024577E" w:rsidRPr="007D01AB">
              <w:rPr>
                <w:sz w:val="22"/>
                <w:szCs w:val="22"/>
              </w:rPr>
              <w:t xml:space="preserve">proportionate amount </w:t>
            </w:r>
          </w:p>
        </w:tc>
        <w:tc>
          <w:tcPr>
            <w:tcW w:w="1558" w:type="dxa"/>
          </w:tcPr>
          <w:p w14:paraId="047F3368" w14:textId="3C50F84F" w:rsidR="00A157CD" w:rsidRPr="007D01AB" w:rsidRDefault="007D1FE2" w:rsidP="00EF3372">
            <w:pPr>
              <w:rPr>
                <w:sz w:val="22"/>
                <w:szCs w:val="22"/>
              </w:rPr>
            </w:pPr>
            <w:r w:rsidRPr="007D01AB">
              <w:rPr>
                <w:sz w:val="22"/>
                <w:szCs w:val="22"/>
              </w:rPr>
              <w:t xml:space="preserve">Detention order </w:t>
            </w:r>
            <w:r w:rsidR="00941CA0" w:rsidRPr="007D01AB">
              <w:rPr>
                <w:sz w:val="22"/>
                <w:szCs w:val="22"/>
              </w:rPr>
              <w:t xml:space="preserve">for up to 3 months. </w:t>
            </w:r>
          </w:p>
          <w:p w14:paraId="247FC83D" w14:textId="77777777" w:rsidR="007222B7" w:rsidRPr="007D01AB" w:rsidRDefault="007222B7" w:rsidP="00EF3372">
            <w:pPr>
              <w:rPr>
                <w:sz w:val="22"/>
                <w:szCs w:val="22"/>
              </w:rPr>
            </w:pPr>
          </w:p>
          <w:p w14:paraId="0C0D430D" w14:textId="74C6326F" w:rsidR="007222B7" w:rsidRPr="007D01AB" w:rsidRDefault="007C6727" w:rsidP="00EF3372">
            <w:pPr>
              <w:rPr>
                <w:sz w:val="22"/>
                <w:szCs w:val="22"/>
              </w:rPr>
            </w:pPr>
            <w:r w:rsidRPr="007D01AB">
              <w:rPr>
                <w:sz w:val="22"/>
                <w:szCs w:val="22"/>
              </w:rPr>
              <w:t xml:space="preserve">A supervision Order </w:t>
            </w:r>
          </w:p>
        </w:tc>
        <w:tc>
          <w:tcPr>
            <w:tcW w:w="1558" w:type="dxa"/>
          </w:tcPr>
          <w:p w14:paraId="2759C1A2" w14:textId="77777777" w:rsidR="00A518B7" w:rsidRPr="0022051F" w:rsidRDefault="00A518B7" w:rsidP="00A518B7">
            <w:pPr>
              <w:rPr>
                <w:b/>
                <w:bCs/>
                <w:sz w:val="22"/>
                <w:szCs w:val="22"/>
              </w:rPr>
            </w:pPr>
            <w:r w:rsidRPr="0022051F">
              <w:rPr>
                <w:b/>
                <w:bCs/>
                <w:sz w:val="22"/>
                <w:szCs w:val="22"/>
              </w:rPr>
              <w:t>For over 18 years olds:</w:t>
            </w:r>
          </w:p>
          <w:p w14:paraId="47A20AC7" w14:textId="77777777" w:rsidR="00A518B7" w:rsidRDefault="00A518B7" w:rsidP="00AF72BC">
            <w:pPr>
              <w:rPr>
                <w:sz w:val="22"/>
                <w:szCs w:val="22"/>
              </w:rPr>
            </w:pPr>
          </w:p>
          <w:p w14:paraId="73314049" w14:textId="0952C6D2" w:rsidR="00AF72BC" w:rsidRPr="007D01AB" w:rsidRDefault="00AF72BC" w:rsidP="00AF72BC">
            <w:pPr>
              <w:rPr>
                <w:sz w:val="22"/>
                <w:szCs w:val="22"/>
              </w:rPr>
            </w:pPr>
            <w:r w:rsidRPr="007D01AB">
              <w:rPr>
                <w:sz w:val="22"/>
                <w:szCs w:val="22"/>
              </w:rPr>
              <w:t>Committal to court, with possible imprisonment for up to 2 years.</w:t>
            </w:r>
          </w:p>
          <w:p w14:paraId="083EBFFE" w14:textId="77777777" w:rsidR="00C211E1" w:rsidRPr="007D01AB" w:rsidRDefault="00C211E1" w:rsidP="00AF72BC">
            <w:pPr>
              <w:rPr>
                <w:sz w:val="22"/>
                <w:szCs w:val="22"/>
              </w:rPr>
            </w:pPr>
          </w:p>
          <w:p w14:paraId="542C55E7" w14:textId="43E85C81" w:rsidR="00C211E1" w:rsidRDefault="00C211E1" w:rsidP="00AF72BC">
            <w:pPr>
              <w:rPr>
                <w:sz w:val="22"/>
                <w:szCs w:val="22"/>
              </w:rPr>
            </w:pPr>
            <w:r w:rsidRPr="007D01AB">
              <w:rPr>
                <w:sz w:val="22"/>
                <w:szCs w:val="22"/>
              </w:rPr>
              <w:t>Unlimited Fine</w:t>
            </w:r>
          </w:p>
          <w:p w14:paraId="43381823" w14:textId="77777777" w:rsidR="00480441" w:rsidRDefault="00480441" w:rsidP="00AF72BC">
            <w:pPr>
              <w:rPr>
                <w:sz w:val="22"/>
                <w:szCs w:val="22"/>
              </w:rPr>
            </w:pPr>
          </w:p>
          <w:p w14:paraId="32DC920F" w14:textId="18BFE1A8" w:rsidR="00480441" w:rsidRPr="00480441" w:rsidRDefault="00480441" w:rsidP="00480441">
            <w:pPr>
              <w:rPr>
                <w:b/>
                <w:bCs/>
                <w:sz w:val="22"/>
                <w:szCs w:val="22"/>
              </w:rPr>
            </w:pPr>
            <w:r w:rsidRPr="00480441">
              <w:rPr>
                <w:b/>
                <w:bCs/>
                <w:sz w:val="22"/>
                <w:szCs w:val="22"/>
              </w:rPr>
              <w:t xml:space="preserve">Under </w:t>
            </w:r>
            <w:proofErr w:type="gramStart"/>
            <w:r w:rsidRPr="00480441">
              <w:rPr>
                <w:b/>
                <w:bCs/>
                <w:sz w:val="22"/>
                <w:szCs w:val="22"/>
              </w:rPr>
              <w:t>18</w:t>
            </w:r>
            <w:r w:rsidRPr="00480441">
              <w:rPr>
                <w:b/>
                <w:bCs/>
                <w:sz w:val="22"/>
                <w:szCs w:val="22"/>
              </w:rPr>
              <w:t xml:space="preserve"> year olds</w:t>
            </w:r>
            <w:proofErr w:type="gramEnd"/>
            <w:r>
              <w:rPr>
                <w:b/>
                <w:bCs/>
                <w:sz w:val="22"/>
                <w:szCs w:val="22"/>
              </w:rPr>
              <w:t>:</w:t>
            </w:r>
          </w:p>
          <w:p w14:paraId="61C43120" w14:textId="77777777" w:rsidR="00480441" w:rsidRPr="00480441" w:rsidRDefault="00480441" w:rsidP="00480441">
            <w:pPr>
              <w:rPr>
                <w:sz w:val="22"/>
                <w:szCs w:val="22"/>
              </w:rPr>
            </w:pPr>
            <w:r w:rsidRPr="00480441">
              <w:rPr>
                <w:sz w:val="22"/>
                <w:szCs w:val="22"/>
              </w:rPr>
              <w:t>Supervision Order</w:t>
            </w:r>
          </w:p>
          <w:p w14:paraId="52DC0DC8" w14:textId="1C1EB9A2" w:rsidR="00480441" w:rsidRPr="00480441" w:rsidRDefault="00480441" w:rsidP="00480441">
            <w:pPr>
              <w:rPr>
                <w:sz w:val="22"/>
                <w:szCs w:val="22"/>
              </w:rPr>
            </w:pPr>
            <w:r w:rsidRPr="00480441">
              <w:rPr>
                <w:sz w:val="22"/>
                <w:szCs w:val="22"/>
              </w:rPr>
              <w:t xml:space="preserve"> </w:t>
            </w:r>
          </w:p>
          <w:p w14:paraId="5F09A4AB" w14:textId="77777777" w:rsidR="00480441" w:rsidRPr="00480441" w:rsidRDefault="00480441" w:rsidP="00480441">
            <w:pPr>
              <w:rPr>
                <w:sz w:val="22"/>
                <w:szCs w:val="22"/>
              </w:rPr>
            </w:pPr>
            <w:r w:rsidRPr="00480441">
              <w:rPr>
                <w:sz w:val="22"/>
                <w:szCs w:val="22"/>
              </w:rPr>
              <w:t xml:space="preserve">Curfew </w:t>
            </w:r>
          </w:p>
          <w:p w14:paraId="3A14A734" w14:textId="77777777" w:rsidR="00480441" w:rsidRPr="00480441" w:rsidRDefault="00480441" w:rsidP="00480441">
            <w:pPr>
              <w:rPr>
                <w:sz w:val="22"/>
                <w:szCs w:val="22"/>
              </w:rPr>
            </w:pPr>
          </w:p>
          <w:p w14:paraId="0FFF2D5C" w14:textId="40277304" w:rsidR="00480441" w:rsidRPr="00480441" w:rsidRDefault="00480441" w:rsidP="00480441">
            <w:pPr>
              <w:rPr>
                <w:sz w:val="22"/>
                <w:szCs w:val="22"/>
              </w:rPr>
            </w:pPr>
            <w:r w:rsidRPr="00480441">
              <w:rPr>
                <w:sz w:val="22"/>
                <w:szCs w:val="22"/>
              </w:rPr>
              <w:t xml:space="preserve">Detention </w:t>
            </w:r>
            <w:r w:rsidR="000634DA" w:rsidRPr="00480441">
              <w:rPr>
                <w:sz w:val="22"/>
                <w:szCs w:val="22"/>
              </w:rPr>
              <w:t>Order for</w:t>
            </w:r>
            <w:r w:rsidRPr="00480441">
              <w:rPr>
                <w:sz w:val="22"/>
                <w:szCs w:val="22"/>
              </w:rPr>
              <w:t xml:space="preserve"> up to 3 months</w:t>
            </w:r>
          </w:p>
          <w:p w14:paraId="39E21F6E" w14:textId="77777777" w:rsidR="00480441" w:rsidRPr="007D01AB" w:rsidRDefault="00480441" w:rsidP="00AF72BC">
            <w:pPr>
              <w:rPr>
                <w:sz w:val="22"/>
                <w:szCs w:val="22"/>
              </w:rPr>
            </w:pPr>
          </w:p>
          <w:p w14:paraId="73D20C2E" w14:textId="256372A1" w:rsidR="00A157CD" w:rsidRPr="007D01AB" w:rsidRDefault="00A157CD" w:rsidP="00A157CD">
            <w:pPr>
              <w:rPr>
                <w:sz w:val="22"/>
                <w:szCs w:val="22"/>
              </w:rPr>
            </w:pPr>
          </w:p>
        </w:tc>
        <w:tc>
          <w:tcPr>
            <w:tcW w:w="1559" w:type="dxa"/>
          </w:tcPr>
          <w:p w14:paraId="1C916F80" w14:textId="77777777" w:rsidR="00003B7F" w:rsidRPr="0022051F" w:rsidRDefault="00003B7F" w:rsidP="00A157CD">
            <w:pPr>
              <w:rPr>
                <w:b/>
                <w:bCs/>
                <w:sz w:val="22"/>
                <w:szCs w:val="22"/>
              </w:rPr>
            </w:pPr>
            <w:r w:rsidRPr="0022051F">
              <w:rPr>
                <w:b/>
                <w:bCs/>
                <w:sz w:val="22"/>
                <w:szCs w:val="22"/>
              </w:rPr>
              <w:t>For over 18 years olds:</w:t>
            </w:r>
          </w:p>
          <w:p w14:paraId="5058A098" w14:textId="77777777" w:rsidR="00003B7F" w:rsidRPr="007D01AB" w:rsidRDefault="00003B7F" w:rsidP="00A157CD">
            <w:pPr>
              <w:rPr>
                <w:sz w:val="22"/>
                <w:szCs w:val="22"/>
              </w:rPr>
            </w:pPr>
          </w:p>
          <w:p w14:paraId="25376724" w14:textId="77777777" w:rsidR="00A157CD" w:rsidRPr="007D01AB" w:rsidRDefault="00783975" w:rsidP="00A157CD">
            <w:pPr>
              <w:rPr>
                <w:sz w:val="22"/>
                <w:szCs w:val="22"/>
              </w:rPr>
            </w:pPr>
            <w:r w:rsidRPr="007D01AB">
              <w:rPr>
                <w:sz w:val="22"/>
                <w:szCs w:val="22"/>
              </w:rPr>
              <w:t xml:space="preserve">Imprisonment up to 5 years for </w:t>
            </w:r>
          </w:p>
          <w:p w14:paraId="19E3A3D8" w14:textId="77777777" w:rsidR="00003B7F" w:rsidRPr="007D01AB" w:rsidRDefault="00003B7F" w:rsidP="00A157CD">
            <w:pPr>
              <w:rPr>
                <w:sz w:val="22"/>
                <w:szCs w:val="22"/>
              </w:rPr>
            </w:pPr>
          </w:p>
          <w:p w14:paraId="5BEE335D" w14:textId="77777777" w:rsidR="00003B7F" w:rsidRPr="007D01AB" w:rsidRDefault="00003B7F" w:rsidP="00A157CD">
            <w:pPr>
              <w:rPr>
                <w:sz w:val="22"/>
                <w:szCs w:val="22"/>
              </w:rPr>
            </w:pPr>
            <w:r w:rsidRPr="007D01AB">
              <w:rPr>
                <w:sz w:val="22"/>
                <w:szCs w:val="22"/>
              </w:rPr>
              <w:t>Fine of up to £5000</w:t>
            </w:r>
          </w:p>
          <w:p w14:paraId="05D88AFD" w14:textId="77777777" w:rsidR="00003B7F" w:rsidRPr="007D01AB" w:rsidRDefault="00003B7F" w:rsidP="00A157CD">
            <w:pPr>
              <w:rPr>
                <w:sz w:val="22"/>
                <w:szCs w:val="22"/>
              </w:rPr>
            </w:pPr>
          </w:p>
          <w:p w14:paraId="72A44218" w14:textId="77777777" w:rsidR="00003B7F" w:rsidRPr="007D01AB" w:rsidRDefault="00003B7F" w:rsidP="00A157CD">
            <w:pPr>
              <w:rPr>
                <w:sz w:val="22"/>
                <w:szCs w:val="22"/>
              </w:rPr>
            </w:pPr>
            <w:r w:rsidRPr="007D01AB">
              <w:rPr>
                <w:sz w:val="22"/>
                <w:szCs w:val="22"/>
              </w:rPr>
              <w:t xml:space="preserve">Community Penalty </w:t>
            </w:r>
          </w:p>
          <w:p w14:paraId="68576912" w14:textId="77777777" w:rsidR="00180532" w:rsidRPr="007D01AB" w:rsidRDefault="00180532" w:rsidP="00A157CD">
            <w:pPr>
              <w:rPr>
                <w:sz w:val="22"/>
                <w:szCs w:val="22"/>
              </w:rPr>
            </w:pPr>
          </w:p>
          <w:p w14:paraId="1B74965A" w14:textId="6DC424AD" w:rsidR="00180532" w:rsidRPr="0022051F" w:rsidRDefault="00480441" w:rsidP="00A157CD">
            <w:pPr>
              <w:rPr>
                <w:b/>
                <w:bCs/>
                <w:sz w:val="22"/>
                <w:szCs w:val="22"/>
              </w:rPr>
            </w:pPr>
            <w:r>
              <w:rPr>
                <w:b/>
                <w:bCs/>
                <w:sz w:val="22"/>
                <w:szCs w:val="22"/>
              </w:rPr>
              <w:t xml:space="preserve">Under </w:t>
            </w:r>
            <w:proofErr w:type="gramStart"/>
            <w:r w:rsidR="00180532" w:rsidRPr="0022051F">
              <w:rPr>
                <w:b/>
                <w:bCs/>
                <w:sz w:val="22"/>
                <w:szCs w:val="22"/>
              </w:rPr>
              <w:t>18 year olds</w:t>
            </w:r>
            <w:proofErr w:type="gramEnd"/>
            <w:r w:rsidR="00180532" w:rsidRPr="0022051F">
              <w:rPr>
                <w:b/>
                <w:bCs/>
                <w:sz w:val="22"/>
                <w:szCs w:val="22"/>
              </w:rPr>
              <w:t>:</w:t>
            </w:r>
          </w:p>
          <w:p w14:paraId="6365EF7D" w14:textId="77777777" w:rsidR="00180532" w:rsidRPr="007D01AB" w:rsidRDefault="00180532" w:rsidP="00A157CD">
            <w:pPr>
              <w:rPr>
                <w:sz w:val="22"/>
                <w:szCs w:val="22"/>
              </w:rPr>
            </w:pPr>
          </w:p>
          <w:p w14:paraId="057BD712" w14:textId="66106618" w:rsidR="00180532" w:rsidRPr="007D01AB" w:rsidRDefault="00180532" w:rsidP="00A157CD">
            <w:pPr>
              <w:rPr>
                <w:sz w:val="22"/>
                <w:szCs w:val="22"/>
              </w:rPr>
            </w:pPr>
            <w:r w:rsidRPr="007D01AB">
              <w:rPr>
                <w:sz w:val="22"/>
                <w:szCs w:val="22"/>
              </w:rPr>
              <w:t xml:space="preserve">Detention </w:t>
            </w:r>
            <w:r w:rsidR="000634DA" w:rsidRPr="007D01AB">
              <w:rPr>
                <w:sz w:val="22"/>
                <w:szCs w:val="22"/>
              </w:rPr>
              <w:t>Order for</w:t>
            </w:r>
            <w:r w:rsidRPr="007D01AB">
              <w:rPr>
                <w:sz w:val="22"/>
                <w:szCs w:val="22"/>
              </w:rPr>
              <w:t xml:space="preserve"> up to 2 years. </w:t>
            </w:r>
          </w:p>
          <w:p w14:paraId="5C3679D7" w14:textId="77777777" w:rsidR="00180532" w:rsidRPr="007D01AB" w:rsidRDefault="00180532" w:rsidP="00A157CD">
            <w:pPr>
              <w:rPr>
                <w:sz w:val="22"/>
                <w:szCs w:val="22"/>
              </w:rPr>
            </w:pPr>
          </w:p>
          <w:p w14:paraId="305ED841" w14:textId="77777777" w:rsidR="00180532" w:rsidRPr="007D01AB" w:rsidRDefault="008A151D" w:rsidP="00A157CD">
            <w:pPr>
              <w:rPr>
                <w:sz w:val="22"/>
                <w:szCs w:val="22"/>
              </w:rPr>
            </w:pPr>
            <w:r w:rsidRPr="007D01AB">
              <w:rPr>
                <w:sz w:val="22"/>
                <w:szCs w:val="22"/>
              </w:rPr>
              <w:t xml:space="preserve">Referral Order </w:t>
            </w:r>
          </w:p>
          <w:p w14:paraId="7405EE4F" w14:textId="77777777" w:rsidR="008A151D" w:rsidRPr="007D01AB" w:rsidRDefault="008A151D" w:rsidP="00A157CD">
            <w:pPr>
              <w:rPr>
                <w:sz w:val="22"/>
                <w:szCs w:val="22"/>
              </w:rPr>
            </w:pPr>
          </w:p>
          <w:p w14:paraId="561607C2" w14:textId="77777777" w:rsidR="008A151D" w:rsidRPr="007D01AB" w:rsidRDefault="008A151D" w:rsidP="00A157CD">
            <w:pPr>
              <w:rPr>
                <w:sz w:val="22"/>
                <w:szCs w:val="22"/>
              </w:rPr>
            </w:pPr>
            <w:r w:rsidRPr="007D01AB">
              <w:rPr>
                <w:sz w:val="22"/>
                <w:szCs w:val="22"/>
              </w:rPr>
              <w:t xml:space="preserve">Community Penalty Order </w:t>
            </w:r>
          </w:p>
          <w:p w14:paraId="16796332" w14:textId="77777777" w:rsidR="001900FD" w:rsidRPr="007D01AB" w:rsidRDefault="001900FD" w:rsidP="00A157CD">
            <w:pPr>
              <w:rPr>
                <w:sz w:val="22"/>
                <w:szCs w:val="22"/>
              </w:rPr>
            </w:pPr>
          </w:p>
          <w:p w14:paraId="5C2A4555" w14:textId="4EB3C30F" w:rsidR="008A151D" w:rsidRPr="007D01AB" w:rsidRDefault="001900FD" w:rsidP="00C6298C">
            <w:pPr>
              <w:rPr>
                <w:sz w:val="22"/>
                <w:szCs w:val="22"/>
              </w:rPr>
            </w:pPr>
            <w:r w:rsidRPr="007D01AB">
              <w:rPr>
                <w:sz w:val="22"/>
                <w:szCs w:val="22"/>
              </w:rPr>
              <w:t>Fine</w:t>
            </w:r>
            <w:r w:rsidR="00F47A79" w:rsidRPr="007D01AB">
              <w:rPr>
                <w:sz w:val="22"/>
                <w:szCs w:val="22"/>
              </w:rPr>
              <w:t xml:space="preserve"> up to £1000</w:t>
            </w:r>
          </w:p>
        </w:tc>
      </w:tr>
      <w:tr w:rsidR="002E201E" w14:paraId="3FB1C3D7" w14:textId="77777777" w:rsidTr="00824292">
        <w:tc>
          <w:tcPr>
            <w:tcW w:w="1558" w:type="dxa"/>
          </w:tcPr>
          <w:p w14:paraId="66E45ED1" w14:textId="7FD432DF" w:rsidR="002E201E" w:rsidRPr="007D01AB" w:rsidRDefault="002E201E" w:rsidP="002E201E">
            <w:pPr>
              <w:rPr>
                <w:sz w:val="22"/>
                <w:szCs w:val="22"/>
              </w:rPr>
            </w:pPr>
            <w:r w:rsidRPr="007D01AB">
              <w:rPr>
                <w:sz w:val="22"/>
                <w:szCs w:val="22"/>
              </w:rPr>
              <w:t xml:space="preserve">Duration of order </w:t>
            </w:r>
          </w:p>
        </w:tc>
        <w:tc>
          <w:tcPr>
            <w:tcW w:w="1558" w:type="dxa"/>
          </w:tcPr>
          <w:p w14:paraId="7FD33D55" w14:textId="77777777" w:rsidR="002E201E" w:rsidRPr="007D01AB" w:rsidRDefault="002E201E" w:rsidP="002E201E">
            <w:pPr>
              <w:rPr>
                <w:sz w:val="22"/>
                <w:szCs w:val="22"/>
              </w:rPr>
            </w:pPr>
            <w:r w:rsidRPr="007D01AB">
              <w:rPr>
                <w:sz w:val="22"/>
                <w:szCs w:val="22"/>
              </w:rPr>
              <w:t xml:space="preserve">No minimum </w:t>
            </w:r>
          </w:p>
          <w:p w14:paraId="19AC01C2" w14:textId="77777777" w:rsidR="002E201E" w:rsidRPr="007D01AB" w:rsidRDefault="002E201E" w:rsidP="002E201E">
            <w:pPr>
              <w:rPr>
                <w:sz w:val="22"/>
                <w:szCs w:val="22"/>
              </w:rPr>
            </w:pPr>
          </w:p>
          <w:p w14:paraId="20807A22" w14:textId="65E4E82D" w:rsidR="002E201E" w:rsidRPr="007D01AB" w:rsidRDefault="002E201E" w:rsidP="002E201E">
            <w:pPr>
              <w:rPr>
                <w:sz w:val="22"/>
                <w:szCs w:val="22"/>
              </w:rPr>
            </w:pPr>
            <w:r w:rsidRPr="007D01AB">
              <w:rPr>
                <w:sz w:val="22"/>
                <w:szCs w:val="22"/>
              </w:rPr>
              <w:t xml:space="preserve">Maximum is likely to be capped at 2 years. </w:t>
            </w:r>
          </w:p>
          <w:p w14:paraId="62165775" w14:textId="0C055AA8" w:rsidR="002E201E" w:rsidRPr="007D01AB" w:rsidRDefault="002E201E" w:rsidP="002E201E">
            <w:pPr>
              <w:rPr>
                <w:sz w:val="22"/>
                <w:szCs w:val="22"/>
              </w:rPr>
            </w:pPr>
          </w:p>
        </w:tc>
        <w:tc>
          <w:tcPr>
            <w:tcW w:w="1559" w:type="dxa"/>
          </w:tcPr>
          <w:p w14:paraId="68E6EB85" w14:textId="77777777" w:rsidR="004A62FF" w:rsidRPr="007D01AB" w:rsidRDefault="004A62FF" w:rsidP="004A62FF">
            <w:pPr>
              <w:rPr>
                <w:sz w:val="22"/>
                <w:szCs w:val="22"/>
              </w:rPr>
            </w:pPr>
            <w:r w:rsidRPr="007D01AB">
              <w:rPr>
                <w:sz w:val="22"/>
                <w:szCs w:val="22"/>
              </w:rPr>
              <w:t xml:space="preserve">No minimum </w:t>
            </w:r>
          </w:p>
          <w:p w14:paraId="7DE647F8" w14:textId="77777777" w:rsidR="004A62FF" w:rsidRPr="007D01AB" w:rsidRDefault="004A62FF" w:rsidP="004A62FF">
            <w:pPr>
              <w:rPr>
                <w:sz w:val="22"/>
                <w:szCs w:val="22"/>
              </w:rPr>
            </w:pPr>
          </w:p>
          <w:p w14:paraId="06640290" w14:textId="77777777" w:rsidR="004A62FF" w:rsidRPr="007D01AB" w:rsidRDefault="004A62FF" w:rsidP="004A62FF">
            <w:pPr>
              <w:rPr>
                <w:sz w:val="22"/>
                <w:szCs w:val="22"/>
              </w:rPr>
            </w:pPr>
            <w:r w:rsidRPr="007D01AB">
              <w:rPr>
                <w:sz w:val="22"/>
                <w:szCs w:val="22"/>
              </w:rPr>
              <w:t xml:space="preserve">Maximum is likely to be capped at 2 years. </w:t>
            </w:r>
          </w:p>
          <w:p w14:paraId="548FBC81" w14:textId="77777777" w:rsidR="002E201E" w:rsidRPr="007D01AB" w:rsidRDefault="002E201E" w:rsidP="002E201E">
            <w:pPr>
              <w:rPr>
                <w:sz w:val="22"/>
                <w:szCs w:val="22"/>
              </w:rPr>
            </w:pPr>
          </w:p>
        </w:tc>
        <w:tc>
          <w:tcPr>
            <w:tcW w:w="1558" w:type="dxa"/>
          </w:tcPr>
          <w:p w14:paraId="19AAAC0F" w14:textId="67341829" w:rsidR="002E201E" w:rsidRPr="007D01AB" w:rsidRDefault="002E201E" w:rsidP="002E201E">
            <w:pPr>
              <w:rPr>
                <w:sz w:val="22"/>
                <w:szCs w:val="22"/>
              </w:rPr>
            </w:pPr>
            <w:r w:rsidRPr="007D01AB">
              <w:rPr>
                <w:sz w:val="22"/>
                <w:szCs w:val="22"/>
              </w:rPr>
              <w:t>No minimum</w:t>
            </w:r>
          </w:p>
          <w:p w14:paraId="11545195" w14:textId="77777777" w:rsidR="002E201E" w:rsidRPr="007D01AB" w:rsidRDefault="002E201E" w:rsidP="002E201E">
            <w:pPr>
              <w:rPr>
                <w:sz w:val="22"/>
                <w:szCs w:val="22"/>
              </w:rPr>
            </w:pPr>
          </w:p>
          <w:p w14:paraId="6901AD9C" w14:textId="76CC292B" w:rsidR="002E201E" w:rsidRPr="007D01AB" w:rsidRDefault="002E201E" w:rsidP="002E201E">
            <w:pPr>
              <w:rPr>
                <w:sz w:val="22"/>
                <w:szCs w:val="22"/>
              </w:rPr>
            </w:pPr>
            <w:r w:rsidRPr="007D01AB">
              <w:rPr>
                <w:sz w:val="22"/>
                <w:szCs w:val="22"/>
              </w:rPr>
              <w:t xml:space="preserve">Maximum is capped </w:t>
            </w:r>
            <w:proofErr w:type="gramStart"/>
            <w:r w:rsidRPr="007D01AB">
              <w:rPr>
                <w:sz w:val="22"/>
                <w:szCs w:val="22"/>
              </w:rPr>
              <w:t>at</w:t>
            </w:r>
            <w:proofErr w:type="gramEnd"/>
            <w:r w:rsidRPr="007D01AB">
              <w:rPr>
                <w:sz w:val="22"/>
                <w:szCs w:val="22"/>
              </w:rPr>
              <w:t xml:space="preserve"> 12 months. </w:t>
            </w:r>
          </w:p>
        </w:tc>
        <w:tc>
          <w:tcPr>
            <w:tcW w:w="1558" w:type="dxa"/>
          </w:tcPr>
          <w:p w14:paraId="49F38194" w14:textId="1247D6A2" w:rsidR="002E201E" w:rsidRPr="00B63E35" w:rsidRDefault="002E201E" w:rsidP="002E201E">
            <w:pPr>
              <w:rPr>
                <w:b/>
                <w:bCs/>
                <w:sz w:val="22"/>
                <w:szCs w:val="22"/>
              </w:rPr>
            </w:pPr>
            <w:r w:rsidRPr="00B63E35">
              <w:rPr>
                <w:b/>
                <w:bCs/>
                <w:sz w:val="22"/>
                <w:szCs w:val="22"/>
              </w:rPr>
              <w:t>Adults:</w:t>
            </w:r>
          </w:p>
          <w:p w14:paraId="2CE948B5" w14:textId="10E68667" w:rsidR="002E201E" w:rsidRPr="007D01AB" w:rsidRDefault="002E201E" w:rsidP="002E201E">
            <w:pPr>
              <w:rPr>
                <w:sz w:val="22"/>
                <w:szCs w:val="22"/>
              </w:rPr>
            </w:pPr>
            <w:r w:rsidRPr="007D01AB">
              <w:rPr>
                <w:sz w:val="22"/>
                <w:szCs w:val="22"/>
              </w:rPr>
              <w:t>No minim</w:t>
            </w:r>
          </w:p>
          <w:p w14:paraId="74556B10" w14:textId="77777777" w:rsidR="002E201E" w:rsidRPr="007D01AB" w:rsidRDefault="002E201E" w:rsidP="002E201E">
            <w:pPr>
              <w:rPr>
                <w:sz w:val="22"/>
                <w:szCs w:val="22"/>
              </w:rPr>
            </w:pPr>
          </w:p>
          <w:p w14:paraId="43607CB4" w14:textId="6ACA7773" w:rsidR="002E201E" w:rsidRPr="007D01AB" w:rsidRDefault="002E201E" w:rsidP="002E201E">
            <w:pPr>
              <w:rPr>
                <w:sz w:val="22"/>
                <w:szCs w:val="22"/>
              </w:rPr>
            </w:pPr>
            <w:r w:rsidRPr="007D01AB">
              <w:rPr>
                <w:sz w:val="22"/>
                <w:szCs w:val="22"/>
              </w:rPr>
              <w:t xml:space="preserve">Maximum – </w:t>
            </w:r>
          </w:p>
          <w:p w14:paraId="59B9212A" w14:textId="4C35B4A8" w:rsidR="002E201E" w:rsidRPr="007D01AB" w:rsidRDefault="002E201E" w:rsidP="002E201E">
            <w:pPr>
              <w:rPr>
                <w:sz w:val="22"/>
                <w:szCs w:val="22"/>
              </w:rPr>
            </w:pPr>
            <w:r w:rsidRPr="007D01AB">
              <w:rPr>
                <w:sz w:val="22"/>
                <w:szCs w:val="22"/>
              </w:rPr>
              <w:t xml:space="preserve">indefinitely. </w:t>
            </w:r>
          </w:p>
          <w:p w14:paraId="08D5F844" w14:textId="77777777" w:rsidR="002E201E" w:rsidRPr="007D01AB" w:rsidRDefault="002E201E" w:rsidP="002E201E">
            <w:pPr>
              <w:rPr>
                <w:sz w:val="22"/>
                <w:szCs w:val="22"/>
              </w:rPr>
            </w:pPr>
          </w:p>
          <w:p w14:paraId="1E96FCCC" w14:textId="231AC3CE" w:rsidR="002E201E" w:rsidRPr="00B63E35" w:rsidRDefault="002E201E" w:rsidP="002E201E">
            <w:pPr>
              <w:rPr>
                <w:b/>
                <w:bCs/>
                <w:sz w:val="22"/>
                <w:szCs w:val="22"/>
              </w:rPr>
            </w:pPr>
            <w:r w:rsidRPr="00B63E35">
              <w:rPr>
                <w:b/>
                <w:bCs/>
                <w:sz w:val="22"/>
                <w:szCs w:val="22"/>
              </w:rPr>
              <w:t xml:space="preserve">Under </w:t>
            </w:r>
            <w:proofErr w:type="gramStart"/>
            <w:r w:rsidRPr="00B63E35">
              <w:rPr>
                <w:b/>
                <w:bCs/>
                <w:sz w:val="22"/>
                <w:szCs w:val="22"/>
              </w:rPr>
              <w:t>18 year olds</w:t>
            </w:r>
            <w:proofErr w:type="gramEnd"/>
            <w:r w:rsidRPr="00B63E35">
              <w:rPr>
                <w:b/>
                <w:bCs/>
                <w:sz w:val="22"/>
                <w:szCs w:val="22"/>
              </w:rPr>
              <w:t>:</w:t>
            </w:r>
          </w:p>
          <w:p w14:paraId="0EB42117" w14:textId="77777777" w:rsidR="002E201E" w:rsidRPr="007D01AB" w:rsidRDefault="002E201E" w:rsidP="002E201E">
            <w:pPr>
              <w:rPr>
                <w:sz w:val="22"/>
                <w:szCs w:val="22"/>
              </w:rPr>
            </w:pPr>
            <w:r w:rsidRPr="007D01AB">
              <w:rPr>
                <w:sz w:val="22"/>
                <w:szCs w:val="22"/>
              </w:rPr>
              <w:t>No minimum</w:t>
            </w:r>
          </w:p>
          <w:p w14:paraId="0E26140D" w14:textId="26CF14EB" w:rsidR="002E201E" w:rsidRPr="007D01AB" w:rsidRDefault="002E201E" w:rsidP="002E201E">
            <w:pPr>
              <w:rPr>
                <w:sz w:val="22"/>
                <w:szCs w:val="22"/>
              </w:rPr>
            </w:pPr>
            <w:r w:rsidRPr="007D01AB">
              <w:rPr>
                <w:sz w:val="22"/>
                <w:szCs w:val="22"/>
              </w:rPr>
              <w:t xml:space="preserve">Maximum length not to exceed 12 months. </w:t>
            </w:r>
          </w:p>
        </w:tc>
        <w:tc>
          <w:tcPr>
            <w:tcW w:w="1559" w:type="dxa"/>
          </w:tcPr>
          <w:p w14:paraId="59E3FE12" w14:textId="77777777" w:rsidR="002E201E" w:rsidRPr="007D01AB" w:rsidRDefault="002E201E" w:rsidP="002E201E">
            <w:pPr>
              <w:rPr>
                <w:sz w:val="22"/>
                <w:szCs w:val="22"/>
              </w:rPr>
            </w:pPr>
            <w:r w:rsidRPr="007D01AB">
              <w:rPr>
                <w:sz w:val="22"/>
                <w:szCs w:val="22"/>
              </w:rPr>
              <w:t>For both adults and young people:</w:t>
            </w:r>
          </w:p>
          <w:p w14:paraId="21AC9F66" w14:textId="270730B3" w:rsidR="002E201E" w:rsidRPr="007D01AB" w:rsidRDefault="002E201E" w:rsidP="002E201E">
            <w:pPr>
              <w:rPr>
                <w:sz w:val="22"/>
                <w:szCs w:val="22"/>
              </w:rPr>
            </w:pPr>
            <w:r w:rsidRPr="007D01AB">
              <w:rPr>
                <w:sz w:val="22"/>
                <w:szCs w:val="22"/>
              </w:rPr>
              <w:t xml:space="preserve">Minimum - 2 years </w:t>
            </w:r>
          </w:p>
          <w:p w14:paraId="744F8268" w14:textId="77777777" w:rsidR="002E201E" w:rsidRPr="007D01AB" w:rsidRDefault="002E201E" w:rsidP="002E201E">
            <w:pPr>
              <w:rPr>
                <w:sz w:val="22"/>
                <w:szCs w:val="22"/>
              </w:rPr>
            </w:pPr>
          </w:p>
          <w:p w14:paraId="21F0C0B1" w14:textId="0BF9416C" w:rsidR="002E201E" w:rsidRPr="007D01AB" w:rsidRDefault="002E201E" w:rsidP="002E201E">
            <w:pPr>
              <w:rPr>
                <w:sz w:val="22"/>
                <w:szCs w:val="22"/>
              </w:rPr>
            </w:pPr>
            <w:r w:rsidRPr="007D01AB">
              <w:rPr>
                <w:sz w:val="22"/>
                <w:szCs w:val="22"/>
              </w:rPr>
              <w:t xml:space="preserve">Maximum – indefinitely. </w:t>
            </w:r>
          </w:p>
          <w:p w14:paraId="65DBE374" w14:textId="4BB0B583" w:rsidR="002E201E" w:rsidRPr="007D01AB" w:rsidRDefault="002E201E" w:rsidP="002E201E">
            <w:pPr>
              <w:rPr>
                <w:sz w:val="22"/>
                <w:szCs w:val="22"/>
              </w:rPr>
            </w:pPr>
          </w:p>
        </w:tc>
      </w:tr>
    </w:tbl>
    <w:p w14:paraId="72FA6632" w14:textId="77777777" w:rsidR="0022635E" w:rsidRDefault="0022635E"/>
    <w:p w14:paraId="7F0ED743" w14:textId="77777777" w:rsidR="004E4590" w:rsidRDefault="004E4590">
      <w:pPr>
        <w:rPr>
          <w:b/>
          <w:bCs/>
        </w:rPr>
      </w:pPr>
    </w:p>
    <w:p w14:paraId="7B89B7D4" w14:textId="77777777" w:rsidR="004E4590" w:rsidRDefault="004E4590">
      <w:pPr>
        <w:rPr>
          <w:b/>
          <w:bCs/>
        </w:rPr>
      </w:pPr>
    </w:p>
    <w:p w14:paraId="5536E60E" w14:textId="77777777" w:rsidR="004E4590" w:rsidRDefault="004E4590">
      <w:pPr>
        <w:rPr>
          <w:b/>
          <w:bCs/>
        </w:rPr>
      </w:pPr>
    </w:p>
    <w:p w14:paraId="2C2D7403" w14:textId="53F261D2" w:rsidR="00946F98" w:rsidRPr="00946F98" w:rsidRDefault="00946F98">
      <w:pPr>
        <w:rPr>
          <w:b/>
          <w:bCs/>
        </w:rPr>
      </w:pPr>
      <w:r w:rsidRPr="00946F98">
        <w:rPr>
          <w:b/>
          <w:bCs/>
        </w:rPr>
        <w:lastRenderedPageBreak/>
        <w:t>Other key points</w:t>
      </w:r>
      <w:r w:rsidR="0048791C">
        <w:rPr>
          <w:b/>
          <w:bCs/>
        </w:rPr>
        <w:t xml:space="preserve"> for orders:</w:t>
      </w:r>
    </w:p>
    <w:p w14:paraId="1D46E572" w14:textId="798987D8" w:rsidR="003C1EC0" w:rsidRDefault="008E02CF">
      <w:r>
        <w:t xml:space="preserve">Because breach of a </w:t>
      </w:r>
      <w:r w:rsidRPr="00761D39">
        <w:rPr>
          <w:b/>
          <w:bCs/>
        </w:rPr>
        <w:t>Respect Order</w:t>
      </w:r>
      <w:r>
        <w:t xml:space="preserve"> will be an arrestable offence, this will speed up the court process</w:t>
      </w:r>
      <w:r w:rsidR="00477CCF">
        <w:t xml:space="preserve"> when dealing with breaches</w:t>
      </w:r>
      <w:r w:rsidR="00D55148">
        <w:t xml:space="preserve"> and bring immediate respite to the victims and witnesses of the anti-social </w:t>
      </w:r>
      <w:proofErr w:type="spellStart"/>
      <w:r w:rsidR="00D55148">
        <w:t>behaviour</w:t>
      </w:r>
      <w:proofErr w:type="spellEnd"/>
      <w:r w:rsidR="00D55148">
        <w:t xml:space="preserve">. </w:t>
      </w:r>
    </w:p>
    <w:p w14:paraId="273D7CB2" w14:textId="382E9151" w:rsidR="00F131F5" w:rsidRDefault="00E9336E" w:rsidP="00E9336E">
      <w:r w:rsidRPr="00E9336E">
        <w:t xml:space="preserve">Before applying for a </w:t>
      </w:r>
      <w:r w:rsidRPr="004C5BB2">
        <w:rPr>
          <w:b/>
          <w:bCs/>
        </w:rPr>
        <w:t>Respect Order</w:t>
      </w:r>
      <w:r w:rsidR="00E06B5A">
        <w:rPr>
          <w:b/>
          <w:bCs/>
        </w:rPr>
        <w:t>,</w:t>
      </w:r>
      <w:r w:rsidR="004C5BB2">
        <w:rPr>
          <w:b/>
          <w:bCs/>
        </w:rPr>
        <w:t xml:space="preserve"> Youth Injunction</w:t>
      </w:r>
      <w:r w:rsidR="00E06B5A">
        <w:rPr>
          <w:b/>
          <w:bCs/>
        </w:rPr>
        <w:t xml:space="preserve"> or Housing Injunction</w:t>
      </w:r>
      <w:r w:rsidR="004C5BB2">
        <w:rPr>
          <w:b/>
          <w:bCs/>
        </w:rPr>
        <w:t xml:space="preserve">, </w:t>
      </w:r>
      <w:r w:rsidR="004C5BB2">
        <w:t>applicants</w:t>
      </w:r>
      <w:r w:rsidRPr="00E9336E">
        <w:t xml:space="preserve"> </w:t>
      </w:r>
      <w:r w:rsidR="00E20921">
        <w:t xml:space="preserve">(such as </w:t>
      </w:r>
      <w:proofErr w:type="gramStart"/>
      <w:r w:rsidR="00E20921">
        <w:t>a Cobalt</w:t>
      </w:r>
      <w:proofErr w:type="gramEnd"/>
      <w:r w:rsidR="00E20921">
        <w:t xml:space="preserve"> Housing) </w:t>
      </w:r>
      <w:r w:rsidRPr="00E9336E">
        <w:t>must carry out a risk assessment. This includes looking at the risk of harm to others</w:t>
      </w:r>
      <w:r w:rsidR="004C76EC">
        <w:t>,</w:t>
      </w:r>
      <w:r w:rsidR="00F131F5">
        <w:t xml:space="preserve"> including vulnerabilities</w:t>
      </w:r>
      <w:r w:rsidR="00A80671">
        <w:t>, the</w:t>
      </w:r>
      <w:r w:rsidR="00F131F5">
        <w:t xml:space="preserve"> </w:t>
      </w:r>
      <w:r w:rsidRPr="00E9336E">
        <w:t>impact on victims, and any support needs of the person</w:t>
      </w:r>
      <w:r w:rsidR="00D45651">
        <w:t xml:space="preserve"> / people</w:t>
      </w:r>
      <w:r w:rsidRPr="00E9336E">
        <w:t xml:space="preserve"> involved.</w:t>
      </w:r>
    </w:p>
    <w:p w14:paraId="5690C4B4" w14:textId="5CEE7B60" w:rsidR="002E1164" w:rsidRPr="002E1164" w:rsidRDefault="002E1164" w:rsidP="002E1164">
      <w:r w:rsidRPr="002E1164">
        <w:t xml:space="preserve">We also need to look at whether there are other ways to </w:t>
      </w:r>
      <w:r w:rsidR="00704B7D">
        <w:t xml:space="preserve">address the concerns </w:t>
      </w:r>
      <w:r w:rsidRPr="002E1164">
        <w:t xml:space="preserve">and </w:t>
      </w:r>
      <w:r w:rsidR="0031736C" w:rsidRPr="002E1164">
        <w:t>consider</w:t>
      </w:r>
      <w:r w:rsidRPr="002E1164">
        <w:t xml:space="preserve"> any equality issues, making sure everything has been properly considered before deciding to take </w:t>
      </w:r>
      <w:r>
        <w:t xml:space="preserve">enforcement </w:t>
      </w:r>
      <w:r w:rsidRPr="002E1164">
        <w:t>action.</w:t>
      </w:r>
    </w:p>
    <w:p w14:paraId="13E3314D" w14:textId="68DD725D" w:rsidR="00E06B5A" w:rsidRDefault="002D0D84" w:rsidP="00E9336E">
      <w:r>
        <w:t>When applying for a Housing Injunction, t</w:t>
      </w:r>
      <w:r w:rsidR="00FB56A9" w:rsidRPr="00FB56A9">
        <w:t xml:space="preserve">he court can </w:t>
      </w:r>
      <w:r>
        <w:t xml:space="preserve">grant </w:t>
      </w:r>
      <w:r w:rsidR="00FB56A9" w:rsidRPr="00FB56A9">
        <w:t>a Respect Order if the</w:t>
      </w:r>
      <w:r>
        <w:t>y consider the</w:t>
      </w:r>
      <w:r w:rsidR="00FB56A9" w:rsidRPr="00FB56A9">
        <w:t xml:space="preserve"> </w:t>
      </w:r>
      <w:proofErr w:type="spellStart"/>
      <w:r w:rsidR="00FB56A9" w:rsidRPr="00FB56A9">
        <w:t>behaviour</w:t>
      </w:r>
      <w:proofErr w:type="spellEnd"/>
      <w:r w:rsidR="00FB56A9" w:rsidRPr="00FB56A9">
        <w:t xml:space="preserve"> is bad enough, without starting the </w:t>
      </w:r>
      <w:r>
        <w:t xml:space="preserve">application </w:t>
      </w:r>
      <w:r w:rsidR="00FB56A9" w:rsidRPr="00FB56A9">
        <w:t>process again</w:t>
      </w:r>
      <w:r>
        <w:t xml:space="preserve">. </w:t>
      </w:r>
    </w:p>
    <w:p w14:paraId="25011301" w14:textId="77777777" w:rsidR="000A40D4" w:rsidRDefault="000A40D4" w:rsidP="00F75D58"/>
    <w:p w14:paraId="58E8F562" w14:textId="3645FCF9" w:rsidR="00063308" w:rsidRDefault="00063308" w:rsidP="00063308">
      <w:pPr>
        <w:rPr>
          <w:b/>
          <w:bCs/>
        </w:rPr>
      </w:pPr>
      <w:r w:rsidRPr="00063308">
        <w:rPr>
          <w:b/>
          <w:bCs/>
        </w:rPr>
        <w:t xml:space="preserve">Community Protection Notice (CPN), </w:t>
      </w:r>
      <w:r w:rsidRPr="00063308">
        <w:rPr>
          <w:b/>
          <w:bCs/>
        </w:rPr>
        <w:t>Public Spaces Protection Orders (PSPOs)</w:t>
      </w:r>
      <w:r w:rsidRPr="00063308">
        <w:rPr>
          <w:b/>
          <w:bCs/>
        </w:rPr>
        <w:t xml:space="preserve"> and </w:t>
      </w:r>
      <w:r w:rsidRPr="00063308">
        <w:rPr>
          <w:b/>
          <w:bCs/>
        </w:rPr>
        <w:t>Fixed Penalty Notice (FPN)</w:t>
      </w:r>
    </w:p>
    <w:p w14:paraId="45ED4621" w14:textId="22DF9C4F" w:rsidR="001C607F" w:rsidRDefault="001C607F" w:rsidP="001C607F">
      <w:r w:rsidRPr="001C607F">
        <w:t xml:space="preserve">A Community Protection Notice (CPN) </w:t>
      </w:r>
      <w:r w:rsidR="00AE06AA">
        <w:t>is</w:t>
      </w:r>
      <w:r w:rsidR="00200839">
        <w:t xml:space="preserve"> issued, after warnings, to individuals or </w:t>
      </w:r>
      <w:proofErr w:type="spellStart"/>
      <w:r w:rsidR="00200839">
        <w:t>organisations</w:t>
      </w:r>
      <w:proofErr w:type="spellEnd"/>
      <w:r w:rsidR="00200839">
        <w:t xml:space="preserve">, </w:t>
      </w:r>
      <w:proofErr w:type="gramStart"/>
      <w:r w:rsidR="00AE06AA">
        <w:t>who’s</w:t>
      </w:r>
      <w:proofErr w:type="gramEnd"/>
      <w:r w:rsidR="00200839">
        <w:t xml:space="preserve"> </w:t>
      </w:r>
      <w:proofErr w:type="spellStart"/>
      <w:r w:rsidR="00200839">
        <w:t>behaviour</w:t>
      </w:r>
      <w:proofErr w:type="spellEnd"/>
      <w:r w:rsidR="00200839">
        <w:t xml:space="preserve">, directly or indirectly, is </w:t>
      </w:r>
      <w:r w:rsidR="00CA22BE">
        <w:t xml:space="preserve">causing </w:t>
      </w:r>
      <w:r w:rsidR="001A2FC8">
        <w:t xml:space="preserve">a detrimental, persistent and unreasonable effect on the quality of life for others. </w:t>
      </w:r>
    </w:p>
    <w:p w14:paraId="08856639" w14:textId="60EE4825" w:rsidR="001C607F" w:rsidRPr="0048791C" w:rsidRDefault="00E81167" w:rsidP="00063308">
      <w:proofErr w:type="gramStart"/>
      <w:r>
        <w:t>A</w:t>
      </w:r>
      <w:r w:rsidRPr="001C607F">
        <w:t xml:space="preserve"> Public Spaces Protection Order (PSPO)</w:t>
      </w:r>
      <w:r>
        <w:t>,</w:t>
      </w:r>
      <w:proofErr w:type="gramEnd"/>
      <w:r>
        <w:t xml:space="preserve"> </w:t>
      </w:r>
      <w:proofErr w:type="gramStart"/>
      <w:r>
        <w:t>are</w:t>
      </w:r>
      <w:proofErr w:type="gramEnd"/>
      <w:r w:rsidR="00DD3638">
        <w:t xml:space="preserve"> issued and</w:t>
      </w:r>
      <w:r>
        <w:t xml:space="preserve"> </w:t>
      </w:r>
      <w:r w:rsidR="00AE06AA">
        <w:t>implemented</w:t>
      </w:r>
      <w:r w:rsidR="008F760E">
        <w:t xml:space="preserve"> by </w:t>
      </w:r>
      <w:r w:rsidR="00DD3638">
        <w:t xml:space="preserve">local authorities. </w:t>
      </w:r>
      <w:r w:rsidR="00AE06AA">
        <w:t>They</w:t>
      </w:r>
      <w:r w:rsidR="00DD3638">
        <w:t xml:space="preserve"> serve to contro</w:t>
      </w:r>
      <w:r w:rsidR="00AE06AA">
        <w:t xml:space="preserve">l unreasonable </w:t>
      </w:r>
      <w:proofErr w:type="spellStart"/>
      <w:r w:rsidR="00AE06AA">
        <w:t>behaviour</w:t>
      </w:r>
      <w:proofErr w:type="spellEnd"/>
      <w:r w:rsidR="00AE06AA">
        <w:t xml:space="preserve"> in specific </w:t>
      </w:r>
      <w:proofErr w:type="gramStart"/>
      <w:r w:rsidR="00AE06AA">
        <w:t>area</w:t>
      </w:r>
      <w:r w:rsidR="0048791C">
        <w:t>’s</w:t>
      </w:r>
      <w:proofErr w:type="gramEnd"/>
      <w:r w:rsidR="00AE06AA">
        <w:t xml:space="preserve">. </w:t>
      </w:r>
    </w:p>
    <w:p w14:paraId="04EF975E" w14:textId="32ED692F" w:rsidR="00063308" w:rsidRPr="00063308" w:rsidRDefault="00063308" w:rsidP="00063308">
      <w:r w:rsidRPr="00063308">
        <w:t xml:space="preserve">To better tackle anti-social </w:t>
      </w:r>
      <w:proofErr w:type="spellStart"/>
      <w:r w:rsidRPr="00063308">
        <w:t>behaviour</w:t>
      </w:r>
      <w:proofErr w:type="spellEnd"/>
      <w:r w:rsidRPr="00063308">
        <w:t xml:space="preserve"> (ASB), the maximum Fixed Penalty Notice (FPN) for breaches of Public Spaces Protection Orders (PSPOs) and Community Protection Notices (CPNs) is being increased. This means stronger financial consequences for those who continue to cause disruption in our communities.</w:t>
      </w:r>
    </w:p>
    <w:p w14:paraId="768EB149" w14:textId="77777777" w:rsidR="00063308" w:rsidRPr="00063308" w:rsidRDefault="00063308" w:rsidP="00063308">
      <w:r w:rsidRPr="00063308">
        <w:t>Currently, only local authorities and the police can issue CPNs and introduce PSPOs. Under proposed changes, powers may be extended through the Community Safety Accreditation Scheme (CSAS), allowing accredited officers — including those working with housing providers — to issue FPNs, subject to local agreement and strict protocols.</w:t>
      </w:r>
    </w:p>
    <w:p w14:paraId="5B3429F0" w14:textId="77777777" w:rsidR="00063308" w:rsidRPr="00063308" w:rsidRDefault="00063308" w:rsidP="00063308">
      <w:r w:rsidRPr="00063308">
        <w:t xml:space="preserve">Before Cobalt can take on these powers, </w:t>
      </w:r>
      <w:proofErr w:type="spellStart"/>
      <w:r w:rsidRPr="00063308">
        <w:t>authorisation</w:t>
      </w:r>
      <w:proofErr w:type="spellEnd"/>
      <w:r w:rsidRPr="00063308">
        <w:t xml:space="preserve"> would be required from Liverpool City Council. National guidance from the Home Secretary will also ensure these powers are used fairly and proportionately.</w:t>
      </w:r>
    </w:p>
    <w:p w14:paraId="7B39D618" w14:textId="77777777" w:rsidR="00063308" w:rsidRDefault="00063308" w:rsidP="00063308">
      <w:r w:rsidRPr="00063308">
        <w:lastRenderedPageBreak/>
        <w:t>These changes will help provide quicker, more effective responses to ASB and support safer, stronger communities.</w:t>
      </w:r>
    </w:p>
    <w:p w14:paraId="50348BEB" w14:textId="77777777" w:rsidR="001C2261" w:rsidRDefault="001C2261" w:rsidP="00063308"/>
    <w:p w14:paraId="2391DBCA" w14:textId="21BD7113" w:rsidR="00156218" w:rsidRPr="00BE2026" w:rsidRDefault="001C2261" w:rsidP="001C2261">
      <w:pPr>
        <w:rPr>
          <w:b/>
          <w:bCs/>
        </w:rPr>
      </w:pPr>
      <w:r w:rsidRPr="001C2261">
        <w:rPr>
          <w:b/>
          <w:bCs/>
        </w:rPr>
        <w:t>Closure Powers</w:t>
      </w:r>
    </w:p>
    <w:p w14:paraId="41FBE877" w14:textId="77777777" w:rsidR="00156218" w:rsidRPr="00156218" w:rsidRDefault="00156218" w:rsidP="00156218">
      <w:r w:rsidRPr="00156218">
        <w:t>Currently, the police and local authorities can issue Closure Notices on premises linked to significant nuisance or disorder. These notices can close a property for up to 48 hours, during which time an application is made to the court for a Closure Order.</w:t>
      </w:r>
    </w:p>
    <w:p w14:paraId="7812071A" w14:textId="77777777" w:rsidR="00156218" w:rsidRPr="00156218" w:rsidRDefault="00156218" w:rsidP="00156218">
      <w:r w:rsidRPr="00156218">
        <w:t xml:space="preserve">Under proposed legislative changes, housing providers may in future be granted powers to issue Closure Notices, subject to appropriate </w:t>
      </w:r>
      <w:proofErr w:type="spellStart"/>
      <w:r w:rsidRPr="00156218">
        <w:t>authorisation</w:t>
      </w:r>
      <w:proofErr w:type="spellEnd"/>
      <w:r w:rsidRPr="00156218">
        <w:t>, legislation, and locally agreed protocols in partnership with the police and local authority.</w:t>
      </w:r>
    </w:p>
    <w:p w14:paraId="66A76388" w14:textId="0E2B291C" w:rsidR="00156218" w:rsidRPr="00156218" w:rsidRDefault="00156218" w:rsidP="00156218">
      <w:r w:rsidRPr="00156218">
        <w:t xml:space="preserve">During the notice period, occupants will be informed that a Closure Order is being sought. In addition, the timeframe to apply to the court for a Closure Order may be extended from 48 hours to 72 hours, </w:t>
      </w:r>
      <w:proofErr w:type="gramStart"/>
      <w:r w:rsidR="00CF1817">
        <w:t>taking into account</w:t>
      </w:r>
      <w:proofErr w:type="gramEnd"/>
      <w:r w:rsidRPr="00156218">
        <w:t xml:space="preserve"> weekends and public holidays.</w:t>
      </w:r>
    </w:p>
    <w:p w14:paraId="3EA2589C" w14:textId="77777777" w:rsidR="00156218" w:rsidRDefault="00156218" w:rsidP="00156218">
      <w:r w:rsidRPr="00156218">
        <w:t xml:space="preserve">These changes aim to provide a more timely and effective response, offering quicker protection and relief to victims of anti-social </w:t>
      </w:r>
      <w:proofErr w:type="spellStart"/>
      <w:r w:rsidRPr="00156218">
        <w:t>behaviour</w:t>
      </w:r>
      <w:proofErr w:type="spellEnd"/>
      <w:r w:rsidRPr="00156218">
        <w:t>.</w:t>
      </w:r>
    </w:p>
    <w:p w14:paraId="22FCC8E0" w14:textId="77777777" w:rsidR="00BE2026" w:rsidRDefault="00BE2026" w:rsidP="00156218"/>
    <w:p w14:paraId="3FBC06CC" w14:textId="77777777" w:rsidR="009A5D66" w:rsidRPr="009A5D66" w:rsidRDefault="009A5D66" w:rsidP="009A5D66">
      <w:pPr>
        <w:rPr>
          <w:b/>
          <w:bCs/>
        </w:rPr>
      </w:pPr>
      <w:r w:rsidRPr="009A5D66">
        <w:rPr>
          <w:b/>
          <w:bCs/>
        </w:rPr>
        <w:t>ASB Case Review – Your Right to Be Heard</w:t>
      </w:r>
    </w:p>
    <w:p w14:paraId="2B5D8EB6" w14:textId="48B8A985" w:rsidR="009A5D66" w:rsidRPr="009A5D66" w:rsidRDefault="009A5D66" w:rsidP="009A5D66">
      <w:r w:rsidRPr="009A5D66">
        <w:t xml:space="preserve">If you are experiencing ongoing anti-social </w:t>
      </w:r>
      <w:proofErr w:type="spellStart"/>
      <w:r w:rsidRPr="009A5D66">
        <w:t>behaviour</w:t>
      </w:r>
      <w:proofErr w:type="spellEnd"/>
      <w:r w:rsidRPr="009A5D66">
        <w:t xml:space="preserve"> (ASB), you have the right to request an ASB Case Review. This brings together agencies such as </w:t>
      </w:r>
      <w:r>
        <w:t>Cobalt, LCC and</w:t>
      </w:r>
      <w:r w:rsidRPr="009A5D66">
        <w:t xml:space="preserve"> police to review your case and agree </w:t>
      </w:r>
      <w:r w:rsidR="00E118A0">
        <w:t xml:space="preserve">if </w:t>
      </w:r>
      <w:r w:rsidRPr="009A5D66">
        <w:t>further action</w:t>
      </w:r>
      <w:r w:rsidR="00E118A0">
        <w:t xml:space="preserve"> is necessary and if </w:t>
      </w:r>
      <w:proofErr w:type="gramStart"/>
      <w:r w:rsidR="00E118A0">
        <w:t>so</w:t>
      </w:r>
      <w:proofErr w:type="gramEnd"/>
      <w:r w:rsidR="00E118A0">
        <w:t xml:space="preserve"> what that action will be and which professional / </w:t>
      </w:r>
      <w:proofErr w:type="spellStart"/>
      <w:r w:rsidR="00041B84">
        <w:t>organisation</w:t>
      </w:r>
      <w:proofErr w:type="spellEnd"/>
      <w:r w:rsidR="00041B84">
        <w:t xml:space="preserve"> is responsible for delivering the action. </w:t>
      </w:r>
    </w:p>
    <w:p w14:paraId="27D916EF" w14:textId="68B97310" w:rsidR="009A5D66" w:rsidRPr="009A5D66" w:rsidRDefault="009A5D66" w:rsidP="008B215C">
      <w:r w:rsidRPr="009A5D66">
        <w:t xml:space="preserve">A new </w:t>
      </w:r>
      <w:r w:rsidR="008B215C">
        <w:t>‘</w:t>
      </w:r>
      <w:r w:rsidRPr="008B215C">
        <w:t>Local Policing Body</w:t>
      </w:r>
      <w:r w:rsidR="008B215C">
        <w:t>’</w:t>
      </w:r>
      <w:r w:rsidRPr="008B215C">
        <w:t xml:space="preserve"> (LPB) Review</w:t>
      </w:r>
      <w:r w:rsidRPr="009A5D66">
        <w:t xml:space="preserve"> has been introduced as </w:t>
      </w:r>
      <w:r w:rsidR="00D51EF2">
        <w:t xml:space="preserve">the next step when outcomes from case reviews are challenged. </w:t>
      </w:r>
    </w:p>
    <w:p w14:paraId="4E5191E2" w14:textId="77777777" w:rsidR="009A5D66" w:rsidRPr="009A5D66" w:rsidRDefault="009A5D66" w:rsidP="00D51EF2">
      <w:r w:rsidRPr="009A5D66">
        <w:t xml:space="preserve">You can request an LPB Review if: </w:t>
      </w:r>
    </w:p>
    <w:p w14:paraId="2A567ABF" w14:textId="4B5D698E" w:rsidR="009A5D66" w:rsidRPr="009A5D66" w:rsidRDefault="009A5D66" w:rsidP="00D51EF2">
      <w:pPr>
        <w:pStyle w:val="ListParagraph"/>
        <w:numPr>
          <w:ilvl w:val="0"/>
          <w:numId w:val="15"/>
        </w:numPr>
      </w:pPr>
      <w:r w:rsidRPr="009A5D66">
        <w:t xml:space="preserve">Your </w:t>
      </w:r>
      <w:r w:rsidR="00D51EF2">
        <w:t xml:space="preserve">request for an </w:t>
      </w:r>
      <w:r w:rsidRPr="009A5D66">
        <w:t>ASB Case Review was declined, or</w:t>
      </w:r>
    </w:p>
    <w:p w14:paraId="52AFBD97" w14:textId="77777777" w:rsidR="009A5D66" w:rsidRDefault="009A5D66" w:rsidP="00D51EF2">
      <w:pPr>
        <w:pStyle w:val="ListParagraph"/>
        <w:numPr>
          <w:ilvl w:val="0"/>
          <w:numId w:val="15"/>
        </w:numPr>
      </w:pPr>
      <w:r w:rsidRPr="009A5D66">
        <w:t>You are unhappy with how your review was handled.</w:t>
      </w:r>
    </w:p>
    <w:p w14:paraId="1D813A80" w14:textId="560FD9F6" w:rsidR="000A5F26" w:rsidRPr="009A5D66" w:rsidRDefault="000A5F26" w:rsidP="000A5F26">
      <w:r>
        <w:t xml:space="preserve">The changes mean that victims are put at the </w:t>
      </w:r>
      <w:r w:rsidR="002716AA">
        <w:t>fourth</w:t>
      </w:r>
      <w:r>
        <w:t xml:space="preserve"> front of tackling ASB</w:t>
      </w:r>
      <w:r w:rsidR="001C47B3">
        <w:t xml:space="preserve"> and are </w:t>
      </w:r>
      <w:r w:rsidR="00AA1AFA">
        <w:t xml:space="preserve">empowered </w:t>
      </w:r>
      <w:r w:rsidR="00D66161">
        <w:t xml:space="preserve">to challenge how their concerns have been addressed. </w:t>
      </w:r>
      <w:r w:rsidR="001C47B3">
        <w:t xml:space="preserve"> </w:t>
      </w:r>
    </w:p>
    <w:p w14:paraId="58ACF139" w14:textId="77777777" w:rsidR="00B94546" w:rsidRPr="00B94546" w:rsidRDefault="00B94546" w:rsidP="00B94546">
      <w:pPr>
        <w:rPr>
          <w:b/>
          <w:bCs/>
        </w:rPr>
      </w:pPr>
      <w:r w:rsidRPr="00B94546">
        <w:rPr>
          <w:b/>
          <w:bCs/>
        </w:rPr>
        <w:t xml:space="preserve">Seizure of vehicles linked to anti-social </w:t>
      </w:r>
      <w:proofErr w:type="spellStart"/>
      <w:r w:rsidRPr="00B94546">
        <w:rPr>
          <w:b/>
          <w:bCs/>
        </w:rPr>
        <w:t>behaviour</w:t>
      </w:r>
      <w:proofErr w:type="spellEnd"/>
    </w:p>
    <w:p w14:paraId="14F8F182" w14:textId="6D3CDB44" w:rsidR="00B94546" w:rsidRDefault="00B94546" w:rsidP="00B94546">
      <w:r>
        <w:t>While Cobalt</w:t>
      </w:r>
      <w:r w:rsidR="0000139E">
        <w:t xml:space="preserve"> Housing </w:t>
      </w:r>
      <w:proofErr w:type="gramStart"/>
      <w:r w:rsidR="0000139E">
        <w:t>do</w:t>
      </w:r>
      <w:proofErr w:type="gramEnd"/>
      <w:r w:rsidR="0000139E">
        <w:t xml:space="preserve"> not have powers to seize vehicles</w:t>
      </w:r>
      <w:r w:rsidR="00BE2890">
        <w:t xml:space="preserve">, changes are being made that strengthen police powers </w:t>
      </w:r>
      <w:r w:rsidR="008062C6">
        <w:t xml:space="preserve">to seize vehicles </w:t>
      </w:r>
      <w:r w:rsidR="00B3522A">
        <w:t>immediately</w:t>
      </w:r>
      <w:r w:rsidR="00E04275">
        <w:t xml:space="preserve"> </w:t>
      </w:r>
      <w:r w:rsidR="008062C6">
        <w:t>that are used in ASB incidents</w:t>
      </w:r>
      <w:r w:rsidR="00B3522A">
        <w:t xml:space="preserve">; </w:t>
      </w:r>
      <w:r w:rsidR="00B3522A">
        <w:lastRenderedPageBreak/>
        <w:t>therefore,</w:t>
      </w:r>
      <w:r w:rsidR="00E04275">
        <w:t xml:space="preserve"> </w:t>
      </w:r>
      <w:r w:rsidR="00B3522A">
        <w:t>providing faster relief for our customers and support</w:t>
      </w:r>
      <w:r w:rsidR="00B56534">
        <w:t>ing</w:t>
      </w:r>
      <w:r w:rsidR="00B3522A">
        <w:t xml:space="preserve"> Cobalt in creating safer communities. </w:t>
      </w:r>
    </w:p>
    <w:p w14:paraId="4D7ED505" w14:textId="77777777" w:rsidR="00B94546" w:rsidRDefault="00B94546" w:rsidP="00B94546"/>
    <w:p w14:paraId="3B5F2D44" w14:textId="77777777" w:rsidR="002E3703" w:rsidRDefault="002E3703" w:rsidP="001C2261"/>
    <w:p w14:paraId="18A90581" w14:textId="77777777" w:rsidR="001C2261" w:rsidRPr="00063308" w:rsidRDefault="001C2261" w:rsidP="00063308"/>
    <w:p w14:paraId="4CDAEE6A" w14:textId="528881AA" w:rsidR="00C846BB" w:rsidRPr="00AD251E" w:rsidRDefault="00C846BB" w:rsidP="00AD251E"/>
    <w:p w14:paraId="2E969660" w14:textId="77777777" w:rsidR="00C26C69" w:rsidRDefault="00C26C69" w:rsidP="00E9336E"/>
    <w:p w14:paraId="22457F82" w14:textId="77777777" w:rsidR="00082676" w:rsidRDefault="00082676" w:rsidP="00E9336E"/>
    <w:p w14:paraId="29B272DF" w14:textId="77777777" w:rsidR="00C26C69" w:rsidRDefault="00C26C69" w:rsidP="00E9336E"/>
    <w:p w14:paraId="588A2ADC" w14:textId="77777777" w:rsidR="00E06B5A" w:rsidRDefault="00E06B5A" w:rsidP="00E9336E"/>
    <w:p w14:paraId="7E8F0302" w14:textId="77777777" w:rsidR="00D40864" w:rsidRDefault="00D40864" w:rsidP="00E9336E"/>
    <w:p w14:paraId="423BD393" w14:textId="77777777" w:rsidR="00946F98" w:rsidRDefault="00946F98" w:rsidP="00E9336E"/>
    <w:p w14:paraId="4862F2C4" w14:textId="77777777" w:rsidR="000D7723" w:rsidRPr="00E9336E" w:rsidRDefault="000D7723" w:rsidP="00E9336E"/>
    <w:p w14:paraId="08E2B541" w14:textId="77777777" w:rsidR="00166344" w:rsidRPr="00FF437B" w:rsidRDefault="00166344" w:rsidP="00FF437B"/>
    <w:p w14:paraId="3B11B06C" w14:textId="77777777" w:rsidR="0022635E" w:rsidRDefault="0022635E"/>
    <w:p w14:paraId="24D6CD5C" w14:textId="77777777" w:rsidR="00D840CC" w:rsidRDefault="00D840CC" w:rsidP="00CE024A"/>
    <w:p w14:paraId="57A9450D" w14:textId="77777777" w:rsidR="00D840CC" w:rsidRPr="00CE024A" w:rsidRDefault="00D840CC" w:rsidP="00CE024A"/>
    <w:p w14:paraId="7667CEDA" w14:textId="77777777" w:rsidR="00CE024A" w:rsidRDefault="00CE024A"/>
    <w:p w14:paraId="65301782" w14:textId="77777777" w:rsidR="00CE024A" w:rsidRDefault="00CE024A"/>
    <w:sectPr w:rsidR="00CE0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8695E"/>
    <w:multiLevelType w:val="multilevel"/>
    <w:tmpl w:val="2342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2176DE"/>
    <w:multiLevelType w:val="multilevel"/>
    <w:tmpl w:val="DE4A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344AA"/>
    <w:multiLevelType w:val="multilevel"/>
    <w:tmpl w:val="E5D4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D4C8A"/>
    <w:multiLevelType w:val="multilevel"/>
    <w:tmpl w:val="2970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C553D"/>
    <w:multiLevelType w:val="multilevel"/>
    <w:tmpl w:val="BCFC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F92752"/>
    <w:multiLevelType w:val="multilevel"/>
    <w:tmpl w:val="3D4C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E45363"/>
    <w:multiLevelType w:val="multilevel"/>
    <w:tmpl w:val="7CA0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542EDA"/>
    <w:multiLevelType w:val="multilevel"/>
    <w:tmpl w:val="36DE3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A449F1"/>
    <w:multiLevelType w:val="multilevel"/>
    <w:tmpl w:val="C892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455D02"/>
    <w:multiLevelType w:val="hybridMultilevel"/>
    <w:tmpl w:val="C514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D8490F"/>
    <w:multiLevelType w:val="hybridMultilevel"/>
    <w:tmpl w:val="1ADC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887C77"/>
    <w:multiLevelType w:val="multilevel"/>
    <w:tmpl w:val="44A03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985DC3"/>
    <w:multiLevelType w:val="multilevel"/>
    <w:tmpl w:val="9DF6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76404D"/>
    <w:multiLevelType w:val="hybridMultilevel"/>
    <w:tmpl w:val="03C8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8A247A"/>
    <w:multiLevelType w:val="multilevel"/>
    <w:tmpl w:val="263C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B65854"/>
    <w:multiLevelType w:val="hybridMultilevel"/>
    <w:tmpl w:val="8DD0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8953886">
    <w:abstractNumId w:val="0"/>
  </w:num>
  <w:num w:numId="2" w16cid:durableId="574824161">
    <w:abstractNumId w:val="9"/>
  </w:num>
  <w:num w:numId="3" w16cid:durableId="660160522">
    <w:abstractNumId w:val="14"/>
  </w:num>
  <w:num w:numId="4" w16cid:durableId="905069249">
    <w:abstractNumId w:val="12"/>
  </w:num>
  <w:num w:numId="5" w16cid:durableId="1822888442">
    <w:abstractNumId w:val="4"/>
  </w:num>
  <w:num w:numId="6" w16cid:durableId="1854225704">
    <w:abstractNumId w:val="10"/>
  </w:num>
  <w:num w:numId="7" w16cid:durableId="1318070365">
    <w:abstractNumId w:val="3"/>
  </w:num>
  <w:num w:numId="8" w16cid:durableId="261106642">
    <w:abstractNumId w:val="2"/>
  </w:num>
  <w:num w:numId="9" w16cid:durableId="912281766">
    <w:abstractNumId w:val="7"/>
  </w:num>
  <w:num w:numId="10" w16cid:durableId="1747796250">
    <w:abstractNumId w:val="6"/>
  </w:num>
  <w:num w:numId="11" w16cid:durableId="651832808">
    <w:abstractNumId w:val="1"/>
  </w:num>
  <w:num w:numId="12" w16cid:durableId="943921974">
    <w:abstractNumId w:val="5"/>
  </w:num>
  <w:num w:numId="13" w16cid:durableId="706491487">
    <w:abstractNumId w:val="8"/>
  </w:num>
  <w:num w:numId="14" w16cid:durableId="1847209032">
    <w:abstractNumId w:val="11"/>
  </w:num>
  <w:num w:numId="15" w16cid:durableId="1778451445">
    <w:abstractNumId w:val="15"/>
  </w:num>
  <w:num w:numId="16" w16cid:durableId="9855475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4A"/>
    <w:rsid w:val="0000139E"/>
    <w:rsid w:val="00002A3A"/>
    <w:rsid w:val="00003B7F"/>
    <w:rsid w:val="00004B2D"/>
    <w:rsid w:val="00013272"/>
    <w:rsid w:val="00020061"/>
    <w:rsid w:val="000253FF"/>
    <w:rsid w:val="00030D17"/>
    <w:rsid w:val="00041B84"/>
    <w:rsid w:val="00050BB5"/>
    <w:rsid w:val="00052E3D"/>
    <w:rsid w:val="00063308"/>
    <w:rsid w:val="000634DA"/>
    <w:rsid w:val="00066248"/>
    <w:rsid w:val="00082676"/>
    <w:rsid w:val="00085188"/>
    <w:rsid w:val="00097641"/>
    <w:rsid w:val="000A40D4"/>
    <w:rsid w:val="000A5F26"/>
    <w:rsid w:val="000B4E0F"/>
    <w:rsid w:val="000C4127"/>
    <w:rsid w:val="000D39D2"/>
    <w:rsid w:val="000D7723"/>
    <w:rsid w:val="000E4702"/>
    <w:rsid w:val="000E6026"/>
    <w:rsid w:val="000E6D9E"/>
    <w:rsid w:val="000F40CC"/>
    <w:rsid w:val="001039B1"/>
    <w:rsid w:val="00105468"/>
    <w:rsid w:val="001217B8"/>
    <w:rsid w:val="00131955"/>
    <w:rsid w:val="00156218"/>
    <w:rsid w:val="00166344"/>
    <w:rsid w:val="00177C15"/>
    <w:rsid w:val="00180532"/>
    <w:rsid w:val="001900FD"/>
    <w:rsid w:val="00191E99"/>
    <w:rsid w:val="001A2FC8"/>
    <w:rsid w:val="001A776B"/>
    <w:rsid w:val="001A7B8E"/>
    <w:rsid w:val="001B1663"/>
    <w:rsid w:val="001B7D06"/>
    <w:rsid w:val="001C1C2B"/>
    <w:rsid w:val="001C2261"/>
    <w:rsid w:val="001C47B3"/>
    <w:rsid w:val="001C607F"/>
    <w:rsid w:val="001D0AF9"/>
    <w:rsid w:val="001E30C8"/>
    <w:rsid w:val="001E3257"/>
    <w:rsid w:val="001F75F4"/>
    <w:rsid w:val="002001E2"/>
    <w:rsid w:val="00200839"/>
    <w:rsid w:val="0021668A"/>
    <w:rsid w:val="0022051F"/>
    <w:rsid w:val="0022635E"/>
    <w:rsid w:val="0024577E"/>
    <w:rsid w:val="00255875"/>
    <w:rsid w:val="00260100"/>
    <w:rsid w:val="00267EA2"/>
    <w:rsid w:val="002716AA"/>
    <w:rsid w:val="00281029"/>
    <w:rsid w:val="00287E7C"/>
    <w:rsid w:val="00296909"/>
    <w:rsid w:val="002C2542"/>
    <w:rsid w:val="002D0D84"/>
    <w:rsid w:val="002E1164"/>
    <w:rsid w:val="002E201E"/>
    <w:rsid w:val="002E3703"/>
    <w:rsid w:val="002E7F26"/>
    <w:rsid w:val="002F6CA2"/>
    <w:rsid w:val="00301B84"/>
    <w:rsid w:val="00305129"/>
    <w:rsid w:val="00311874"/>
    <w:rsid w:val="00316480"/>
    <w:rsid w:val="0031736C"/>
    <w:rsid w:val="003308A7"/>
    <w:rsid w:val="00333986"/>
    <w:rsid w:val="003A0216"/>
    <w:rsid w:val="003A0A38"/>
    <w:rsid w:val="003A41E2"/>
    <w:rsid w:val="003C1EC0"/>
    <w:rsid w:val="003C2E66"/>
    <w:rsid w:val="003C2F88"/>
    <w:rsid w:val="003D060F"/>
    <w:rsid w:val="003E01AF"/>
    <w:rsid w:val="003E38EB"/>
    <w:rsid w:val="003E4E56"/>
    <w:rsid w:val="00407C07"/>
    <w:rsid w:val="00410A1E"/>
    <w:rsid w:val="00417315"/>
    <w:rsid w:val="004315EC"/>
    <w:rsid w:val="004654C2"/>
    <w:rsid w:val="00474E2F"/>
    <w:rsid w:val="00477CCF"/>
    <w:rsid w:val="00480441"/>
    <w:rsid w:val="0048791C"/>
    <w:rsid w:val="00496A33"/>
    <w:rsid w:val="00497097"/>
    <w:rsid w:val="00497B04"/>
    <w:rsid w:val="004A099F"/>
    <w:rsid w:val="004A1C39"/>
    <w:rsid w:val="004A2C10"/>
    <w:rsid w:val="004A62FF"/>
    <w:rsid w:val="004B6FBF"/>
    <w:rsid w:val="004C5510"/>
    <w:rsid w:val="004C5BB2"/>
    <w:rsid w:val="004C76EC"/>
    <w:rsid w:val="004D10A0"/>
    <w:rsid w:val="004D25B2"/>
    <w:rsid w:val="004D26A1"/>
    <w:rsid w:val="004E2C1C"/>
    <w:rsid w:val="004E3474"/>
    <w:rsid w:val="004E4590"/>
    <w:rsid w:val="00510439"/>
    <w:rsid w:val="005130F0"/>
    <w:rsid w:val="00516988"/>
    <w:rsid w:val="005429C4"/>
    <w:rsid w:val="00567C9E"/>
    <w:rsid w:val="00571FDC"/>
    <w:rsid w:val="005B1884"/>
    <w:rsid w:val="005C60F8"/>
    <w:rsid w:val="005D45A0"/>
    <w:rsid w:val="005D5EFC"/>
    <w:rsid w:val="005F0B38"/>
    <w:rsid w:val="005F3E66"/>
    <w:rsid w:val="005F541E"/>
    <w:rsid w:val="00611511"/>
    <w:rsid w:val="00615FE6"/>
    <w:rsid w:val="00621B6A"/>
    <w:rsid w:val="006508F0"/>
    <w:rsid w:val="00654355"/>
    <w:rsid w:val="006632F5"/>
    <w:rsid w:val="00671A7B"/>
    <w:rsid w:val="00696132"/>
    <w:rsid w:val="006C780C"/>
    <w:rsid w:val="006D5789"/>
    <w:rsid w:val="006E0662"/>
    <w:rsid w:val="00701D78"/>
    <w:rsid w:val="00704B7D"/>
    <w:rsid w:val="007112C3"/>
    <w:rsid w:val="007222B7"/>
    <w:rsid w:val="00742549"/>
    <w:rsid w:val="00761D39"/>
    <w:rsid w:val="0077064E"/>
    <w:rsid w:val="0078180D"/>
    <w:rsid w:val="00783975"/>
    <w:rsid w:val="00795786"/>
    <w:rsid w:val="007A01AC"/>
    <w:rsid w:val="007C2513"/>
    <w:rsid w:val="007C6727"/>
    <w:rsid w:val="007D01AB"/>
    <w:rsid w:val="007D1FE2"/>
    <w:rsid w:val="00803A2B"/>
    <w:rsid w:val="008062C6"/>
    <w:rsid w:val="00812BBA"/>
    <w:rsid w:val="008158C1"/>
    <w:rsid w:val="00824292"/>
    <w:rsid w:val="008567DD"/>
    <w:rsid w:val="00856C84"/>
    <w:rsid w:val="008660F6"/>
    <w:rsid w:val="008713E0"/>
    <w:rsid w:val="00874DE9"/>
    <w:rsid w:val="00892F6E"/>
    <w:rsid w:val="00897C05"/>
    <w:rsid w:val="008A151D"/>
    <w:rsid w:val="008B215C"/>
    <w:rsid w:val="008C7706"/>
    <w:rsid w:val="008D10D9"/>
    <w:rsid w:val="008D4832"/>
    <w:rsid w:val="008E02CF"/>
    <w:rsid w:val="008F2F29"/>
    <w:rsid w:val="008F56D7"/>
    <w:rsid w:val="008F760E"/>
    <w:rsid w:val="0090185C"/>
    <w:rsid w:val="00941911"/>
    <w:rsid w:val="00941CA0"/>
    <w:rsid w:val="00946F98"/>
    <w:rsid w:val="00952FCC"/>
    <w:rsid w:val="009714DC"/>
    <w:rsid w:val="00987997"/>
    <w:rsid w:val="0099010B"/>
    <w:rsid w:val="00997B11"/>
    <w:rsid w:val="009A5D66"/>
    <w:rsid w:val="009C02F9"/>
    <w:rsid w:val="009C20C2"/>
    <w:rsid w:val="009F40A5"/>
    <w:rsid w:val="00A06B91"/>
    <w:rsid w:val="00A06BDC"/>
    <w:rsid w:val="00A12335"/>
    <w:rsid w:val="00A157CD"/>
    <w:rsid w:val="00A27973"/>
    <w:rsid w:val="00A27D54"/>
    <w:rsid w:val="00A330CB"/>
    <w:rsid w:val="00A518B7"/>
    <w:rsid w:val="00A731A3"/>
    <w:rsid w:val="00A80671"/>
    <w:rsid w:val="00A84A3F"/>
    <w:rsid w:val="00AA1AFA"/>
    <w:rsid w:val="00AD251E"/>
    <w:rsid w:val="00AD45EC"/>
    <w:rsid w:val="00AE06AA"/>
    <w:rsid w:val="00AE37B5"/>
    <w:rsid w:val="00AF5661"/>
    <w:rsid w:val="00AF72BC"/>
    <w:rsid w:val="00B071D3"/>
    <w:rsid w:val="00B30780"/>
    <w:rsid w:val="00B3522A"/>
    <w:rsid w:val="00B54ACD"/>
    <w:rsid w:val="00B56534"/>
    <w:rsid w:val="00B63E35"/>
    <w:rsid w:val="00B72DCB"/>
    <w:rsid w:val="00B84150"/>
    <w:rsid w:val="00B9269C"/>
    <w:rsid w:val="00B94546"/>
    <w:rsid w:val="00B96B49"/>
    <w:rsid w:val="00BC0B36"/>
    <w:rsid w:val="00BD1BBD"/>
    <w:rsid w:val="00BD7273"/>
    <w:rsid w:val="00BE2026"/>
    <w:rsid w:val="00BE2890"/>
    <w:rsid w:val="00BF223B"/>
    <w:rsid w:val="00C211E1"/>
    <w:rsid w:val="00C26C69"/>
    <w:rsid w:val="00C52AB4"/>
    <w:rsid w:val="00C613BA"/>
    <w:rsid w:val="00C6298C"/>
    <w:rsid w:val="00C73D09"/>
    <w:rsid w:val="00C77B27"/>
    <w:rsid w:val="00C846BB"/>
    <w:rsid w:val="00C9243F"/>
    <w:rsid w:val="00C944C2"/>
    <w:rsid w:val="00CA22BE"/>
    <w:rsid w:val="00CA2620"/>
    <w:rsid w:val="00CE024A"/>
    <w:rsid w:val="00CE550A"/>
    <w:rsid w:val="00CF1817"/>
    <w:rsid w:val="00D30A03"/>
    <w:rsid w:val="00D40864"/>
    <w:rsid w:val="00D42523"/>
    <w:rsid w:val="00D45651"/>
    <w:rsid w:val="00D510E1"/>
    <w:rsid w:val="00D51EF2"/>
    <w:rsid w:val="00D55148"/>
    <w:rsid w:val="00D66161"/>
    <w:rsid w:val="00D67C3E"/>
    <w:rsid w:val="00D80444"/>
    <w:rsid w:val="00D82CF0"/>
    <w:rsid w:val="00D840CC"/>
    <w:rsid w:val="00D85C2F"/>
    <w:rsid w:val="00D879DF"/>
    <w:rsid w:val="00D9239B"/>
    <w:rsid w:val="00D97F5F"/>
    <w:rsid w:val="00DB1FB5"/>
    <w:rsid w:val="00DC2C9F"/>
    <w:rsid w:val="00DD3638"/>
    <w:rsid w:val="00DE02B1"/>
    <w:rsid w:val="00E04275"/>
    <w:rsid w:val="00E06B5A"/>
    <w:rsid w:val="00E118A0"/>
    <w:rsid w:val="00E121C3"/>
    <w:rsid w:val="00E1487B"/>
    <w:rsid w:val="00E20921"/>
    <w:rsid w:val="00E41012"/>
    <w:rsid w:val="00E75368"/>
    <w:rsid w:val="00E779FF"/>
    <w:rsid w:val="00E81167"/>
    <w:rsid w:val="00E84E2A"/>
    <w:rsid w:val="00E93318"/>
    <w:rsid w:val="00E9336E"/>
    <w:rsid w:val="00EA4AEB"/>
    <w:rsid w:val="00EB71C8"/>
    <w:rsid w:val="00EC0667"/>
    <w:rsid w:val="00EC184D"/>
    <w:rsid w:val="00EE5413"/>
    <w:rsid w:val="00EF3372"/>
    <w:rsid w:val="00F03B68"/>
    <w:rsid w:val="00F131F5"/>
    <w:rsid w:val="00F35D9E"/>
    <w:rsid w:val="00F47A79"/>
    <w:rsid w:val="00F50776"/>
    <w:rsid w:val="00F51D00"/>
    <w:rsid w:val="00F75D58"/>
    <w:rsid w:val="00F85661"/>
    <w:rsid w:val="00F91649"/>
    <w:rsid w:val="00F932E5"/>
    <w:rsid w:val="00FB56A9"/>
    <w:rsid w:val="00FC3C25"/>
    <w:rsid w:val="00FE49B7"/>
    <w:rsid w:val="00FE6BF1"/>
    <w:rsid w:val="00FF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9819"/>
  <w15:chartTrackingRefBased/>
  <w15:docId w15:val="{EEEB020E-F197-4CC6-8F50-74BF5EB5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F29"/>
  </w:style>
  <w:style w:type="paragraph" w:styleId="Heading1">
    <w:name w:val="heading 1"/>
    <w:basedOn w:val="Normal"/>
    <w:next w:val="Normal"/>
    <w:link w:val="Heading1Char"/>
    <w:uiPriority w:val="9"/>
    <w:qFormat/>
    <w:rsid w:val="00CE0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24A"/>
    <w:rPr>
      <w:rFonts w:eastAsiaTheme="majorEastAsia" w:cstheme="majorBidi"/>
      <w:color w:val="272727" w:themeColor="text1" w:themeTint="D8"/>
    </w:rPr>
  </w:style>
  <w:style w:type="paragraph" w:styleId="Title">
    <w:name w:val="Title"/>
    <w:basedOn w:val="Normal"/>
    <w:next w:val="Normal"/>
    <w:link w:val="TitleChar"/>
    <w:uiPriority w:val="10"/>
    <w:qFormat/>
    <w:rsid w:val="00CE0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24A"/>
    <w:pPr>
      <w:spacing w:before="160"/>
      <w:jc w:val="center"/>
    </w:pPr>
    <w:rPr>
      <w:i/>
      <w:iCs/>
      <w:color w:val="404040" w:themeColor="text1" w:themeTint="BF"/>
    </w:rPr>
  </w:style>
  <w:style w:type="character" w:customStyle="1" w:styleId="QuoteChar">
    <w:name w:val="Quote Char"/>
    <w:basedOn w:val="DefaultParagraphFont"/>
    <w:link w:val="Quote"/>
    <w:uiPriority w:val="29"/>
    <w:rsid w:val="00CE024A"/>
    <w:rPr>
      <w:i/>
      <w:iCs/>
      <w:color w:val="404040" w:themeColor="text1" w:themeTint="BF"/>
    </w:rPr>
  </w:style>
  <w:style w:type="paragraph" w:styleId="ListParagraph">
    <w:name w:val="List Paragraph"/>
    <w:basedOn w:val="Normal"/>
    <w:uiPriority w:val="34"/>
    <w:qFormat/>
    <w:rsid w:val="00CE024A"/>
    <w:pPr>
      <w:ind w:left="720"/>
      <w:contextualSpacing/>
    </w:pPr>
  </w:style>
  <w:style w:type="character" w:styleId="IntenseEmphasis">
    <w:name w:val="Intense Emphasis"/>
    <w:basedOn w:val="DefaultParagraphFont"/>
    <w:uiPriority w:val="21"/>
    <w:qFormat/>
    <w:rsid w:val="00CE024A"/>
    <w:rPr>
      <w:i/>
      <w:iCs/>
      <w:color w:val="0F4761" w:themeColor="accent1" w:themeShade="BF"/>
    </w:rPr>
  </w:style>
  <w:style w:type="paragraph" w:styleId="IntenseQuote">
    <w:name w:val="Intense Quote"/>
    <w:basedOn w:val="Normal"/>
    <w:next w:val="Normal"/>
    <w:link w:val="IntenseQuoteChar"/>
    <w:uiPriority w:val="30"/>
    <w:qFormat/>
    <w:rsid w:val="00CE0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24A"/>
    <w:rPr>
      <w:i/>
      <w:iCs/>
      <w:color w:val="0F4761" w:themeColor="accent1" w:themeShade="BF"/>
    </w:rPr>
  </w:style>
  <w:style w:type="character" w:styleId="IntenseReference">
    <w:name w:val="Intense Reference"/>
    <w:basedOn w:val="DefaultParagraphFont"/>
    <w:uiPriority w:val="32"/>
    <w:qFormat/>
    <w:rsid w:val="00CE024A"/>
    <w:rPr>
      <w:b/>
      <w:bCs/>
      <w:smallCaps/>
      <w:color w:val="0F4761" w:themeColor="accent1" w:themeShade="BF"/>
      <w:spacing w:val="5"/>
    </w:rPr>
  </w:style>
  <w:style w:type="character" w:styleId="Hyperlink">
    <w:name w:val="Hyperlink"/>
    <w:basedOn w:val="DefaultParagraphFont"/>
    <w:uiPriority w:val="99"/>
    <w:unhideWhenUsed/>
    <w:rsid w:val="00CE024A"/>
    <w:rPr>
      <w:color w:val="467886" w:themeColor="hyperlink"/>
      <w:u w:val="single"/>
    </w:rPr>
  </w:style>
  <w:style w:type="character" w:styleId="UnresolvedMention">
    <w:name w:val="Unresolved Mention"/>
    <w:basedOn w:val="DefaultParagraphFont"/>
    <w:uiPriority w:val="99"/>
    <w:semiHidden/>
    <w:unhideWhenUsed/>
    <w:rsid w:val="00CE024A"/>
    <w:rPr>
      <w:color w:val="605E5C"/>
      <w:shd w:val="clear" w:color="auto" w:fill="E1DFDD"/>
    </w:rPr>
  </w:style>
  <w:style w:type="table" w:styleId="TableGrid">
    <w:name w:val="Table Grid"/>
    <w:basedOn w:val="TableNormal"/>
    <w:uiPriority w:val="39"/>
    <w:rsid w:val="00226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1377</Words>
  <Characters>9639</Characters>
  <Application>Microsoft Office Word</Application>
  <DocSecurity>0</DocSecurity>
  <Lines>158</Lines>
  <Paragraphs>123</Paragraphs>
  <ScaleCrop>false</ScaleCrop>
  <HeadingPairs>
    <vt:vector size="2" baseType="variant">
      <vt:variant>
        <vt:lpstr>Title</vt:lpstr>
      </vt:variant>
      <vt:variant>
        <vt:i4>1</vt:i4>
      </vt:variant>
    </vt:vector>
  </HeadingPairs>
  <TitlesOfParts>
    <vt:vector size="1" baseType="lpstr">
      <vt:lpstr/>
    </vt:vector>
  </TitlesOfParts>
  <Company>Cobalt Housing</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Toutountzi</dc:creator>
  <cp:keywords/>
  <dc:description/>
  <cp:lastModifiedBy>Kate Toutountzi</cp:lastModifiedBy>
  <cp:revision>2</cp:revision>
  <dcterms:created xsi:type="dcterms:W3CDTF">2026-06-11T11:51:00Z</dcterms:created>
  <dcterms:modified xsi:type="dcterms:W3CDTF">2026-06-11T11:51:00Z</dcterms:modified>
</cp:coreProperties>
</file>